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lang w:val="en-US" w:eastAsia="zh-Hans"/>
        </w:rPr>
      </w:pPr>
      <w:r>
        <w:br/>
      </w:r>
    </w:p>
    <w:p/>
    <w:p>
      <w:r>
        <w:br/>
      </w:r>
      <w:r>
        <w:br/>
      </w:r>
      <w:r>
        <w:br/>
      </w:r>
      <w:r>
        <w:br/>
      </w:r>
      <w:r>
        <w:br/>
      </w:r>
    </w:p>
    <w:p>
      <w:pPr>
        <w:jc w:val="center"/>
      </w:pPr>
      <w:r>
        <w:rPr>
          <w:b/>
          <w:sz w:val="48"/>
        </w:rPr>
        <w:t>广东省政府采购</w:t>
      </w:r>
    </w:p>
    <w:p/>
    <w:p>
      <w:pPr>
        <w:jc w:val="center"/>
      </w:pPr>
      <w:r>
        <w:rPr>
          <w:b/>
          <w:sz w:val="48"/>
        </w:rPr>
        <w:t>公开招标文件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445301-2022-01568</w:t>
      </w:r>
    </w:p>
    <w:p>
      <w:pPr>
        <w:jc w:val="center"/>
      </w:pPr>
      <w:r>
        <w:rPr>
          <w:b/>
          <w:sz w:val="24"/>
        </w:rPr>
        <w:t>采购项目编号：</w:t>
      </w:r>
      <w:r>
        <w:rPr>
          <w:b/>
          <w:sz w:val="24"/>
        </w:rPr>
        <w:t>GDWXYF-2022-CG006</w:t>
      </w:r>
    </w:p>
    <w:p>
      <w:pPr>
        <w:jc w:val="center"/>
      </w:pPr>
      <w:r>
        <w:rPr>
          <w:b/>
          <w:sz w:val="24"/>
        </w:rPr>
        <w:t>项目名称：</w:t>
      </w:r>
      <w:r>
        <w:rPr>
          <w:b/>
          <w:sz w:val="24"/>
        </w:rPr>
        <w:t>云浮市应急物资保障体系建设补助资金（中央直达资金）项目</w:t>
      </w:r>
    </w:p>
    <w:p>
      <w:pPr>
        <w:jc w:val="center"/>
      </w:pPr>
      <w:r>
        <w:rPr>
          <w:b/>
          <w:sz w:val="24"/>
        </w:rPr>
        <w:t>采购人：</w:t>
      </w:r>
      <w:r>
        <w:rPr>
          <w:b/>
          <w:sz w:val="24"/>
        </w:rPr>
        <w:t>云浮市粮食和物资储备中心</w:t>
      </w:r>
    </w:p>
    <w:p>
      <w:pPr>
        <w:jc w:val="center"/>
      </w:pPr>
      <w:r>
        <w:rPr>
          <w:b/>
          <w:sz w:val="24"/>
        </w:rPr>
        <w:t>采购代理机构：</w:t>
      </w:r>
      <w:r>
        <w:rPr>
          <w:b/>
          <w:sz w:val="24"/>
        </w:rPr>
        <w:t>广东万雄项目管理有限公司</w:t>
      </w:r>
    </w:p>
    <w:p>
      <w:pPr>
        <w:ind w:firstLine="480"/>
      </w:pPr>
    </w:p>
    <w:p>
      <w:r>
        <w:rPr/>
        <w:t xml:space="preserve"> </w:t>
      </w:r>
    </w:p>
    <w:p/>
    <w:p>
      <w:pPr>
        <w:jc w:val="center"/>
      </w:pPr>
      <w:r>
        <w:rPr>
          <w:b/>
          <w:sz w:val="36"/>
        </w:rPr>
        <w:t>第一章投标邀请</w:t>
      </w:r>
    </w:p>
    <w:p>
      <w:pPr>
        <w:ind w:firstLine="480"/>
      </w:pPr>
      <w:r>
        <w:rPr/>
        <w:t>广东万雄项目管理有限公司</w:t>
      </w:r>
      <w:r>
        <w:rPr/>
        <w:t>受</w:t>
      </w:r>
      <w:r>
        <w:rPr/>
        <w:t>云浮市粮食和物资储备中心</w:t>
      </w:r>
      <w:r>
        <w:rPr/>
        <w:t>的委托，采用</w:t>
      </w:r>
      <w:r>
        <w:rPr/>
        <w:t>公开招标</w:t>
      </w:r>
      <w:r>
        <w:rPr/>
        <w:t>方式组织采购</w:t>
      </w:r>
      <w:r>
        <w:rPr/>
        <w:t>云浮市应急物资保障体系建设补助资金（中央直达资金）项目</w:t>
      </w:r>
      <w:r>
        <w:rPr/>
        <w:t>。欢迎符合资格条件的国内供应商参加投标。</w:t>
      </w:r>
    </w:p>
    <w:p>
      <w:r>
        <w:rPr>
          <w:b/>
          <w:sz w:val="28"/>
        </w:rPr>
        <w:t>一.项目概述</w:t>
      </w:r>
    </w:p>
    <w:p>
      <w:r>
        <w:rPr>
          <w:b/>
          <w:sz w:val="24"/>
        </w:rPr>
        <w:t>1.名称与编号</w:t>
      </w:r>
    </w:p>
    <w:p>
      <w:pPr>
        <w:ind w:firstLine="480"/>
      </w:pPr>
      <w:r>
        <w:rPr/>
        <w:t>项目名称：</w:t>
      </w:r>
      <w:r>
        <w:rPr/>
        <w:t>云浮市应急物资保障体系建设补助资金（中央直达资金）项目</w:t>
      </w:r>
    </w:p>
    <w:p>
      <w:pPr>
        <w:ind w:firstLine="480"/>
      </w:pPr>
      <w:r>
        <w:rPr/>
        <w:t>采购计划编号：</w:t>
      </w:r>
      <w:r>
        <w:rPr/>
        <w:t>445301-2022-01568</w:t>
      </w:r>
    </w:p>
    <w:p>
      <w:pPr>
        <w:ind w:firstLine="480"/>
      </w:pPr>
      <w:r>
        <w:rPr/>
        <w:t>采购项目编号：</w:t>
      </w:r>
      <w:r>
        <w:rPr/>
        <w:t>GDWXYF-2022-CG006</w:t>
      </w:r>
    </w:p>
    <w:p>
      <w:pPr>
        <w:ind w:firstLine="480"/>
      </w:pPr>
      <w:r>
        <w:rPr/>
        <w:t>采购方式：</w:t>
      </w:r>
      <w:r>
        <w:rPr/>
        <w:t>公开招标</w:t>
      </w:r>
    </w:p>
    <w:p>
      <w:pPr>
        <w:ind w:firstLine="480"/>
      </w:pPr>
      <w:r>
        <w:rPr/>
        <w:t>预算金额：</w:t>
      </w:r>
      <w:r>
        <w:rPr/>
        <w:t>9,400,000.00</w:t>
      </w:r>
      <w:r>
        <w:rPr/>
        <w:t>元</w:t>
      </w:r>
    </w:p>
    <w:p>
      <w:r>
        <w:rPr>
          <w:b/>
          <w:sz w:val="24"/>
        </w:rPr>
        <w:t>2.项目内容及需求情况（采购项目技术规格、参数及要求）</w:t>
      </w:r>
    </w:p>
    <w:p>
      <w:pPr>
        <w:ind w:firstLine="480"/>
      </w:pPr>
    </w:p>
    <w:p/>
    <w:p>
      <w:r>
        <w:rPr/>
        <w:t>采购包1(云浮市应急物资保障体系建设补助资金（中央直达资金）项目):</w:t>
      </w:r>
    </w:p>
    <w:p>
      <w:r>
        <w:rPr/>
        <w:t>采购包预算金额：9,400,000.00元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1-1</w:t>
            </w:r>
          </w:p>
        </w:tc>
        <w:tc>
          <w:tcPr>
            <w:tcW w:type="dxa" w:w="1368"/>
          </w:tcPr>
          <w:p>
            <w:r>
              <w:rPr/>
              <w:t>其他货物</w:t>
            </w:r>
          </w:p>
        </w:tc>
        <w:tc>
          <w:tcPr>
            <w:tcW w:type="dxa" w:w="2052"/>
          </w:tcPr>
          <w:p>
            <w:r>
              <w:rPr/>
              <w:t>应急储备物资</w:t>
            </w:r>
          </w:p>
        </w:tc>
        <w:tc>
          <w:tcPr>
            <w:tcW w:type="dxa" w:w="977"/>
          </w:tcPr>
          <w:p>
            <w:r>
              <w:rPr/>
              <w:t>1.0000(批)</w:t>
            </w:r>
          </w:p>
        </w:tc>
        <w:tc>
          <w:tcPr>
            <w:tcW w:type="dxa" w:w="977"/>
          </w:tcPr>
          <w:p>
            <w:r>
              <w:rPr/>
              <w:t>详见第二章</w:t>
            </w:r>
          </w:p>
        </w:tc>
        <w:tc>
          <w:tcPr>
            <w:tcW w:type="dxa" w:w="977"/>
          </w:tcPr>
          <w:p>
            <w:r>
              <w:rPr/>
              <w:t>8,545,500.00</w:t>
            </w:r>
          </w:p>
        </w:tc>
        <w:tc>
          <w:tcPr>
            <w:tcW w:type="dxa" w:w="977"/>
          </w:tcPr>
          <w:p>
            <w:r>
              <w:rPr/>
              <w:t>否</w:t>
            </w:r>
          </w:p>
        </w:tc>
      </w:tr>
      <w:tr>
        <w:tc>
          <w:tcPr>
            <w:tcW w:type="dxa" w:w="977"/>
          </w:tcPr>
          <w:p>
            <w:r>
              <w:rPr/>
              <w:t>1-2</w:t>
            </w:r>
          </w:p>
        </w:tc>
        <w:tc>
          <w:tcPr>
            <w:tcW w:type="dxa" w:w="1368"/>
          </w:tcPr>
          <w:p>
            <w:r>
              <w:rPr/>
              <w:t>其他服务</w:t>
            </w:r>
          </w:p>
        </w:tc>
        <w:tc>
          <w:tcPr>
            <w:tcW w:type="dxa" w:w="2052"/>
          </w:tcPr>
          <w:p>
            <w:r>
              <w:rPr/>
              <w:t>应急物资储备管理费（1年）</w:t>
            </w:r>
          </w:p>
        </w:tc>
        <w:tc>
          <w:tcPr>
            <w:tcW w:type="dxa" w:w="977"/>
          </w:tcPr>
          <w:p>
            <w:r>
              <w:rPr/>
              <w:t>1.0000(项)</w:t>
            </w:r>
          </w:p>
        </w:tc>
        <w:tc>
          <w:tcPr>
            <w:tcW w:type="dxa" w:w="977"/>
          </w:tcPr>
          <w:p>
            <w:r>
              <w:rPr/>
              <w:t>详见第二章</w:t>
            </w:r>
          </w:p>
        </w:tc>
        <w:tc>
          <w:tcPr>
            <w:tcW w:type="dxa" w:w="977"/>
          </w:tcPr>
          <w:p>
            <w:r>
              <w:rPr/>
              <w:t>854,500.00</w:t>
            </w:r>
          </w:p>
        </w:tc>
        <w:tc>
          <w:tcPr>
            <w:tcW w:type="dxa" w:w="977"/>
          </w:tcPr>
          <w:p>
            <w:r>
              <w:rPr/>
              <w:t>否</w:t>
            </w:r>
          </w:p>
        </w:tc>
      </w:tr>
    </w:tbl>
    <w:p/>
    <w:p>
      <w:r>
        <w:rPr/>
        <w:t>本采购包不接受联合体投标</w:t>
      </w:r>
    </w:p>
    <w:p/>
    <w:p>
      <w:r>
        <w:rPr/>
        <w:t>合同履行期限：储备管理期为一年，以签订合同为准，签订合同之日起20天内完成全部应急物资供货和入库工作。</w:t>
      </w:r>
    </w:p>
    <w:p/>
    <w:p>
      <w:r>
        <w:rPr>
          <w:b/>
          <w:sz w:val="28"/>
        </w:rPr>
        <w:t>二.投标人的资格要求</w:t>
      </w:r>
    </w:p>
    <w:p>
      <w:r>
        <w:rPr>
          <w:b/>
          <w:sz w:val="24"/>
        </w:rPr>
        <w:t>1.投标人应具备《中华人民共和国政府采购法》第二十二条规定的条件，提供下列材料：</w:t>
      </w:r>
    </w:p>
    <w:p>
      <w:pPr>
        <w:ind w:firstLine="480"/>
      </w:pPr>
    </w:p>
    <w:p/>
    <w:p>
      <w:r>
        <w:rPr/>
        <w:t>1）具有独立承担民事责任的能力：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p>
    <w:p/>
    <w:p>
      <w:r>
        <w:rPr/>
        <w:t>2）有依法缴纳税收和社会保障资金的良好记录：提供投标截止日前6个月内任意1个月依法缴纳税收和社会保障资金的凭据证明材料复印件。如依法免税或不需要缴纳社会保障资金的，提供相应证明材料。</w:t>
      </w:r>
    </w:p>
    <w:p/>
    <w:p>
      <w:r>
        <w:rPr/>
        <w:t>3）具有良好的商业信誉和健全的财务会计制度：提供第三方有资质会计师事务所出具的2020年或2021年年度财务状况报告复印件；或2022年1月至今任意一个月的财务报表复印件（利润表、资产负债表、现金流量表）；或银行出具的资信证明材料复印件。</w:t>
      </w:r>
    </w:p>
    <w:p/>
    <w:p>
      <w:r>
        <w:rPr/>
        <w:t>4）履行合同所必需的设备和专业技术能力：按投标（响应）文件格式填报设备及专业技术能力情况。</w:t>
      </w:r>
    </w:p>
    <w:p/>
    <w:p>
      <w:r>
        <w:rPr/>
        <w:t>5）参加采购活动前3年内，在经营活动中没有重大违法记录：参照投标（报价）函相关承诺格式内容。重大违法记录，是指投标人因违法经营受到刑事处罚或者责令停产停业、吊销许可证或者执照、较大数额罚款等行政处罚。根据财库〔2022〕3号文规定，“较大数额罚款”是指认定为200万元以上的罚款，但法律、行政法规以及国务院有关部门明确规定相关领域“较大数额罚款”标准高于200万元的，则从其规定。</w:t>
      </w:r>
    </w:p>
    <w:p/>
    <w:p>
      <w:r>
        <w:rPr>
          <w:b/>
          <w:sz w:val="24"/>
        </w:rPr>
        <w:t>2.落实政府采购政策需满足的资格要求：</w:t>
      </w:r>
    </w:p>
    <w:p>
      <w:pPr>
        <w:ind w:firstLine="480"/>
      </w:pPr>
    </w:p>
    <w:p>
      <w:pPr>
        <w:jc w:val="left"/>
      </w:pPr>
    </w:p>
    <w:p>
      <w:r>
        <w:rPr/>
        <w:t>采购包1（云浮市应急物资保障体系建设补助资金（中央直达资金）项目）：</w:t>
      </w:r>
      <w:r>
        <w:rPr/>
        <w:t>云浮市应急物资保障体系建设补助资金（中央直达资金）项目（以下简称应急物资项目），由于：一是该项目资金来源于中央直达资金，采购标的金额较大，且在合同期满后中标人按照储备物资合同价值向采购人等值回购储备物资，需要中标人具备一定的资金实力和良好的经营管理能力，才能确保在合同期满后能及时支付等值回购资金；二是该项目主要采购疫情防控应急物资，需要中标人具有快速的应急响应能力，在需要动用物资时能有效落实调拨指令，准确及时地将应急物资配送到位；三是该项目采购的物资有保质期限的，需要中标人具有较大和符合规定的储备仓库、以及畅通的销售渠道才能保证完成物资的代储、代轮换任务，从而确保物资储存安全和常储常新，在发生应急调用时调得动、用得上。所以，为确保资金安全及落实好防控应急物资任务，现根据《政府采购促进中小企业发展管理办法》（财库﹝2020﹞46号）第六条第（三）款的规定“按照本办法规定预留采购份额无法确定充分供应、充分竞争，或者存在可能影响政府采购目标实现的情形”，本采购项目不专门面向中小企业预留采购份额。</w:t>
      </w:r>
    </w:p>
    <w:p/>
    <w:p>
      <w:r>
        <w:rPr>
          <w:b/>
          <w:sz w:val="24"/>
        </w:rPr>
        <w:t>3.本项目特定的资格要求：</w:t>
      </w:r>
    </w:p>
    <w:p>
      <w:pPr>
        <w:ind w:firstLine="480"/>
      </w:pPr>
    </w:p>
    <w:p/>
    <w:p>
      <w:r>
        <w:rPr/>
        <w:t>采购包1（云浮市应急物资保障体系建设补助资金（中央直达资金）项目）：</w:t>
      </w:r>
    </w:p>
    <w:p/>
    <w:p>
      <w:r>
        <w:rPr/>
        <w:t>1)投标人未被列入“信用中国”网站（www.creditchina.gov.cn）以下任意记录名单之一：①失信被执行人；②税收违法黑名单；③政府采购严重违法失信行为。同时，不处于中国政府采购网（www.ccgp.gov.cn）“政府采购严重违法失信行为信息记录名单”中的禁止参加政府采购活动期间，提供查询结果截图证明。【说明：①由采购人、采购代理机构于投标截止日在“信用中国”网站及中国政府采购网查询结果为准，如查询结果显示“没有找到您搜索的数据”或“没有该企业的相关记录”，视为没有上述不良信用记录，如相关失信记录已失效，投标人须提供相关证明资料；②采购代理机构同时对信用信息查询记录和证据截图或下载存档。】</w:t>
      </w:r>
    </w:p>
    <w:p/>
    <w:p>
      <w:r>
        <w:rPr/>
        <w:t>2)单位负责人为同一人或者存在直接控股、管理关系的不同投标人，不得同时参加本采购项目（或采购包）投标（响应）。为本项目提供整体设计、规范编制或者项目管理、监理、检测等服务的投标人，不得再参与本项目投标（响应）。投标（报价）函相关承诺要求内容。</w:t>
      </w:r>
    </w:p>
    <w:p/>
    <w:p>
      <w:r>
        <w:rPr>
          <w:b/>
          <w:sz w:val="28"/>
        </w:rPr>
        <w:t>三.获取招标文件</w:t>
      </w:r>
    </w:p>
    <w:p>
      <w:pPr>
        <w:ind w:firstLine="480"/>
      </w:pPr>
      <w:r>
        <w:rPr/>
        <w:t>时间：详见招标公告及其变更公告（如有）</w:t>
      </w:r>
    </w:p>
    <w:p>
      <w:pPr>
        <w:ind w:firstLine="480"/>
      </w:pPr>
      <w:r>
        <w:rPr/>
        <w:t>地点：详见招标公告及其变更公告（如有）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ind w:firstLine="480"/>
      </w:pPr>
      <w:r>
        <w:rPr/>
        <w:t>售价：免费</w:t>
      </w:r>
    </w:p>
    <w:p>
      <w:r>
        <w:rPr>
          <w:b/>
          <w:sz w:val="28"/>
        </w:rPr>
        <w:t>四.提交投标文件截止时间、开标时间和地点：</w:t>
      </w:r>
    </w:p>
    <w:p>
      <w:pPr>
        <w:ind w:firstLine="480"/>
      </w:pPr>
      <w:r>
        <w:rPr/>
        <w:t>提交投标文件截止时间和开标时间：详见招标公告及其变更公告（如有）</w:t>
      </w:r>
    </w:p>
    <w:p>
      <w:pPr>
        <w:ind w:firstLine="480"/>
      </w:pPr>
      <w:r>
        <w:rPr/>
        <w:t>（自招标文件开始发出之日起至投标人提交投标文件截止之日止，不得少于20日）</w:t>
      </w:r>
    </w:p>
    <w:p>
      <w:pPr>
        <w:ind w:firstLine="480"/>
      </w:pPr>
      <w:r>
        <w:rPr/>
        <w:t>地点：详见招标公告及其变更公告（如有）</w:t>
      </w:r>
    </w:p>
    <w:p>
      <w:r>
        <w:rPr>
          <w:b/>
          <w:sz w:val="28"/>
        </w:rPr>
        <w:t>五.公告期限、发布公告的媒介：</w:t>
      </w:r>
    </w:p>
    <w:p>
      <w:pPr>
        <w:ind w:firstLine="480"/>
      </w:pPr>
      <w:r>
        <w:rPr/>
        <w:t>1、公告期限：自本公告发布之日起不得少于5个工作日。</w:t>
      </w:r>
    </w:p>
    <w:p>
      <w:pPr>
        <w:ind w:firstLine="480"/>
      </w:pPr>
      <w:r>
        <w:rPr/>
        <w:t>2、发布公告的媒介：中国政府采购网(www.ccgp.gov.cn)、广东省政府采购网(https://gdgpo.czt.gd.gov.cn/)；</w:t>
      </w:r>
    </w:p>
    <w:p>
      <w:r>
        <w:rPr>
          <w:b/>
          <w:sz w:val="28"/>
        </w:rPr>
        <w:t>六.本项目联系方式：</w:t>
      </w:r>
    </w:p>
    <w:p>
      <w:r>
        <w:rPr>
          <w:b/>
          <w:sz w:val="24"/>
        </w:rPr>
        <w:t>1.采购人信息</w:t>
      </w:r>
    </w:p>
    <w:p>
      <w:pPr>
        <w:ind w:firstLine="480"/>
      </w:pPr>
      <w:r>
        <w:rPr/>
        <w:t>名称：</w:t>
      </w:r>
      <w:r>
        <w:rPr/>
        <w:t>云浮市粮食和物资储备中心</w:t>
      </w:r>
    </w:p>
    <w:p>
      <w:pPr>
        <w:ind w:firstLine="480"/>
      </w:pPr>
      <w:r>
        <w:rPr/>
        <w:t>地址：</w:t>
      </w:r>
      <w:r>
        <w:rPr/>
        <w:t>云浮市区河滨西路65号四楼</w:t>
      </w:r>
    </w:p>
    <w:p>
      <w:pPr>
        <w:ind w:firstLine="480"/>
      </w:pPr>
      <w:r>
        <w:rPr/>
        <w:t>联系方式：</w:t>
      </w:r>
      <w:r>
        <w:rPr/>
        <w:t>0766-8827717</w:t>
      </w:r>
    </w:p>
    <w:p>
      <w:r>
        <w:rPr>
          <w:b/>
          <w:sz w:val="24"/>
        </w:rPr>
        <w:t>2.采购代理机构信息</w:t>
      </w:r>
    </w:p>
    <w:p>
      <w:pPr>
        <w:ind w:firstLine="480"/>
      </w:pPr>
      <w:r>
        <w:rPr/>
        <w:t>名称：</w:t>
      </w:r>
      <w:r>
        <w:rPr/>
        <w:t>广东万雄项目管理有限公司</w:t>
      </w:r>
    </w:p>
    <w:p>
      <w:pPr>
        <w:ind w:firstLine="480"/>
      </w:pPr>
      <w:r>
        <w:rPr/>
        <w:t>地址：</w:t>
      </w:r>
      <w:r>
        <w:rPr/>
        <w:t>广东省云浮市云城区云城街道城中路110号第一幢四楼</w:t>
      </w:r>
    </w:p>
    <w:p>
      <w:pPr>
        <w:ind w:firstLine="480"/>
      </w:pPr>
      <w:r>
        <w:rPr/>
        <w:t>联系方式：</w:t>
      </w:r>
      <w:r>
        <w:rPr/>
        <w:t>0766-8833802</w:t>
      </w:r>
    </w:p>
    <w:p>
      <w:r>
        <w:rPr>
          <w:b/>
          <w:sz w:val="24"/>
        </w:rPr>
        <w:t>3.项目联系方式</w:t>
      </w:r>
    </w:p>
    <w:p>
      <w:pPr>
        <w:ind w:firstLine="480"/>
      </w:pPr>
      <w:r>
        <w:rPr/>
        <w:t>项目联系人：</w:t>
      </w:r>
      <w:r>
        <w:rPr/>
        <w:t>李小姐</w:t>
      </w:r>
    </w:p>
    <w:p>
      <w:pPr>
        <w:ind w:firstLine="480"/>
      </w:pPr>
      <w:r>
        <w:rPr/>
        <w:t>电话：</w:t>
      </w:r>
      <w:r>
        <w:rPr/>
        <w:t>0766-8833802</w:t>
      </w:r>
    </w:p>
    <w:p>
      <w:r>
        <w:rPr>
          <w:b/>
          <w:sz w:val="24"/>
        </w:rPr>
        <w:t>4.技术支持联系方式</w:t>
      </w:r>
    </w:p>
    <w:p>
      <w:pPr>
        <w:ind w:firstLine="480"/>
      </w:pPr>
      <w:r>
        <w:rPr/>
        <w:t>云平台联系方式：020-88696588</w:t>
      </w:r>
    </w:p>
    <w:p>
      <w:pPr>
        <w:ind w:firstLine="480"/>
      </w:pPr>
      <w:r>
        <w:rPr/>
        <w:t>数字证书CA技术服务热线：400-887-6133</w:t>
      </w:r>
    </w:p>
    <w:p>
      <w:r>
        <w:rPr/>
        <w:t>采购代理机构：</w:t>
      </w:r>
      <w:r>
        <w:rPr/>
        <w:t>广东万雄项目管理有限公司</w:t>
      </w:r>
    </w:p>
    <w:p>
      <w:pPr>
        <w:ind w:firstLine="480"/>
      </w:pPr>
    </w:p>
    <w:p>
      <w:r>
        <w:rPr/>
        <w:t xml:space="preserve"> </w:t>
      </w:r>
    </w:p>
    <w:p/>
    <w:p>
      <w:pPr>
        <w:jc w:val="center"/>
      </w:pPr>
      <w:r>
        <w:rPr>
          <w:b/>
          <w:sz w:val="36"/>
        </w:rPr>
        <w:t>第二章 采购需求</w:t>
      </w:r>
    </w:p>
    <w:p>
      <w:r>
        <w:rPr>
          <w:b/>
          <w:sz w:val="28"/>
        </w:rPr>
        <w:t>一、项目概况：</w:t>
      </w:r>
    </w:p>
    <w:p>
      <w:pPr>
        <w:ind w:firstLine="480"/>
      </w:pPr>
    </w:p>
    <w:p/>
    <w:p>
      <w:pPr>
        <w:ind w:firstLine="420"/>
        <w:jc w:val="both"/>
      </w:pPr>
      <w:r>
        <w:rPr>
          <w:sz w:val="24"/>
        </w:rPr>
        <w:t>注：</w:t>
      </w:r>
    </w:p>
    <w:p>
      <w:pPr>
        <w:ind w:firstLine="420"/>
        <w:jc w:val="both"/>
      </w:pPr>
      <w:r>
        <w:rPr>
          <w:sz w:val="24"/>
        </w:rPr>
        <w:t>1.“</w:t>
      </w:r>
      <w:r>
        <w:rPr>
          <w:sz w:val="24"/>
        </w:rPr>
        <w:t>采购</w:t>
      </w:r>
      <w:r>
        <w:rPr>
          <w:sz w:val="24"/>
        </w:rPr>
        <w:t>需求</w:t>
      </w:r>
      <w:r>
        <w:rPr>
          <w:sz w:val="24"/>
        </w:rPr>
        <w:t>”中所列的技术参数、配置要求、品牌和型号（如有）等，只作为投标人投标的参考，并无指定，对未有注明的参数要求，均以标准配置为准。投标人可根据货物的实际情况，选用技术参数优于或等于用户需求书的货物进行投标，并列明详细的技术参数、品牌、型号及产地等。</w:t>
      </w:r>
    </w:p>
    <w:p>
      <w:pPr>
        <w:ind w:firstLine="420"/>
        <w:jc w:val="both"/>
      </w:pPr>
      <w:r>
        <w:rPr>
          <w:sz w:val="24"/>
        </w:rPr>
        <w:t>2.“采购需求”中的带“★”项条款为实质性技术条款，投标人如有任何一条不响应、负偏离或缺漏，作无效投标处理。</w:t>
      </w:r>
    </w:p>
    <w:p>
      <w:pPr>
        <w:ind w:firstLine="420"/>
        <w:jc w:val="both"/>
      </w:pPr>
      <w:r>
        <w:rPr>
          <w:sz w:val="24"/>
        </w:rPr>
        <w:t>3.招标文件中如标有“▲”的条款均为评审的重要评分指标，投标人若有部分“▲”条款未响应或不满足，将导致其响应性评审严重扣分。</w:t>
      </w:r>
    </w:p>
    <w:p>
      <w:pPr>
        <w:ind w:firstLine="420"/>
        <w:jc w:val="both"/>
      </w:pPr>
      <w:r>
        <w:rPr>
          <w:sz w:val="24"/>
        </w:rPr>
        <w:t>为进一步加强云浮市公共卫生应急物资社会防疫政府储备，切实保障人民生命健康和社会经济平稳运行，经云浮市政府同意，采购人</w:t>
      </w:r>
      <w:r>
        <w:rPr>
          <w:sz w:val="24"/>
        </w:rPr>
        <w:t>(云浮市粮食和物资储备中心)招标采购云浮市应急物资保障体系建设补助资金（中央直达资金）项目(以下简称应急物资项目)</w:t>
      </w:r>
      <w:r>
        <w:rPr>
          <w:sz w:val="24"/>
        </w:rPr>
        <w:t>，</w:t>
      </w:r>
      <w:r>
        <w:rPr>
          <w:sz w:val="24"/>
        </w:rPr>
        <w:t>本项目预算金额</w:t>
      </w:r>
      <w:r>
        <w:rPr>
          <w:sz w:val="24"/>
        </w:rPr>
        <w:t>9,400,000.00元（其中，采购应急储备物资金额8,545,500.00元</w:t>
      </w:r>
      <w:r>
        <w:rPr>
          <w:sz w:val="24"/>
        </w:rPr>
        <w:t>，</w:t>
      </w:r>
      <w:r>
        <w:rPr>
          <w:sz w:val="24"/>
        </w:rPr>
        <w:t>一年期的应急物资储备管理费金额</w:t>
      </w:r>
      <w:r>
        <w:rPr>
          <w:sz w:val="24"/>
        </w:rPr>
        <w:t>854,500.00元）。</w:t>
      </w:r>
    </w:p>
    <w:tbl>
      <w:tblPr>
        <w:tblW w:w="0" w:type="auto"/>
        <w:tblBorders>
          <w:top w:val="none" w:color="000000" w:sz="4"/>
          <w:left w:val="none" w:color="000000" w:sz="4"/>
          <w:bottom w:val="none" w:color="000000" w:sz="4"/>
          <w:right w:val="none" w:color="000000" w:sz="4"/>
          <w:insideH w:val="none"/>
          <w:insideV w:val="none"/>
        </w:tblBorders>
      </w:tblPr>
      <w:tblGrid>
        <w:gridCol w:w="697"/>
        <w:gridCol w:w="1162"/>
        <w:gridCol w:w="852"/>
        <w:gridCol w:w="1808"/>
        <w:gridCol w:w="2079"/>
        <w:gridCol w:w="1653"/>
      </w:tblGrid>
      <w:tr>
        <w:tc>
          <w:tcPr>
            <w:tcW w:type="dxa" w:w="697"/>
            <w:tcBorders>
              <w:top w:val="single" w:color="000000" w:sz="4"/>
              <w:left w:val="single" w:color="000000" w:sz="4"/>
              <w:bottom w:val="single" w:color="000000" w:sz="4"/>
              <w:right w:val="single" w:color="000000" w:sz="4"/>
            </w:tcBorders>
            <w:shd w:fill="FDEADA"/>
            <w:vAlign w:val="top"/>
          </w:tcPr>
          <w:p>
            <w:pPr>
              <w:jc w:val="center"/>
            </w:pPr>
            <w:r>
              <w:rPr>
                <w:b/>
                <w:sz w:val="24"/>
              </w:rPr>
              <w:t>序号</w:t>
            </w:r>
          </w:p>
        </w:tc>
        <w:tc>
          <w:tcPr>
            <w:tcW w:type="dxa" w:w="1162"/>
            <w:tcBorders>
              <w:top w:val="single" w:color="000000" w:sz="4"/>
              <w:left w:val="none" w:color="000000" w:sz="4"/>
              <w:bottom w:val="single" w:color="000000" w:sz="4"/>
              <w:right w:val="single" w:color="000000" w:sz="4"/>
            </w:tcBorders>
            <w:shd w:fill="FDEADA"/>
            <w:vAlign w:val="top"/>
          </w:tcPr>
          <w:p>
            <w:pPr>
              <w:jc w:val="center"/>
            </w:pPr>
            <w:r>
              <w:rPr>
                <w:b/>
                <w:sz w:val="24"/>
              </w:rPr>
              <w:t>采购内容</w:t>
            </w:r>
          </w:p>
        </w:tc>
        <w:tc>
          <w:tcPr>
            <w:tcW w:type="dxa" w:w="852"/>
            <w:tcBorders>
              <w:top w:val="single" w:color="000000" w:sz="4"/>
              <w:left w:val="none" w:color="000000" w:sz="4"/>
              <w:bottom w:val="single" w:color="000000" w:sz="4"/>
              <w:right w:val="single" w:color="000000" w:sz="4"/>
            </w:tcBorders>
            <w:shd w:fill="FDEADA"/>
            <w:vAlign w:val="top"/>
          </w:tcPr>
          <w:p>
            <w:pPr>
              <w:jc w:val="center"/>
            </w:pPr>
            <w:r>
              <w:rPr>
                <w:b/>
                <w:sz w:val="24"/>
              </w:rPr>
              <w:t>数量</w:t>
            </w:r>
          </w:p>
        </w:tc>
        <w:tc>
          <w:tcPr>
            <w:tcW w:type="dxa" w:w="1808"/>
            <w:tcBorders>
              <w:top w:val="single" w:color="000000" w:sz="4"/>
              <w:left w:val="none" w:color="000000" w:sz="4"/>
              <w:bottom w:val="single" w:color="000000" w:sz="4"/>
              <w:right w:val="single" w:color="000000" w:sz="4"/>
            </w:tcBorders>
            <w:shd w:fill="FDEADA"/>
            <w:vAlign w:val="top"/>
          </w:tcPr>
          <w:p>
            <w:pPr>
              <w:jc w:val="center"/>
            </w:pPr>
            <w:r>
              <w:rPr>
                <w:b/>
                <w:sz w:val="24"/>
              </w:rPr>
              <w:t>供货或服务时间</w:t>
            </w:r>
          </w:p>
        </w:tc>
        <w:tc>
          <w:tcPr>
            <w:tcW w:type="dxa" w:w="2079"/>
            <w:tcBorders>
              <w:top w:val="single" w:color="000000" w:sz="4"/>
              <w:left w:val="none" w:color="000000" w:sz="4"/>
              <w:bottom w:val="single" w:color="000000" w:sz="4"/>
              <w:right w:val="single" w:color="000000" w:sz="4"/>
            </w:tcBorders>
            <w:shd w:fill="FDEADA"/>
            <w:vAlign w:val="top"/>
          </w:tcPr>
          <w:p>
            <w:pPr>
              <w:jc w:val="center"/>
            </w:pPr>
            <w:r>
              <w:rPr>
                <w:b/>
                <w:sz w:val="24"/>
              </w:rPr>
              <w:t>供货或服务内容</w:t>
            </w:r>
          </w:p>
        </w:tc>
        <w:tc>
          <w:tcPr>
            <w:tcW w:type="dxa" w:w="1653"/>
            <w:tcBorders>
              <w:top w:val="single" w:color="000000" w:sz="4"/>
              <w:left w:val="none" w:color="000000" w:sz="4"/>
              <w:bottom w:val="single" w:color="000000" w:sz="4"/>
              <w:right w:val="single" w:color="000000" w:sz="4"/>
            </w:tcBorders>
            <w:shd w:fill="FDEADA"/>
            <w:vAlign w:val="top"/>
          </w:tcPr>
          <w:p>
            <w:pPr>
              <w:jc w:val="center"/>
            </w:pPr>
            <w:r>
              <w:rPr>
                <w:b/>
                <w:sz w:val="24"/>
              </w:rPr>
              <w:t>最高限价</w:t>
            </w:r>
            <w:r>
              <w:rPr>
                <w:b/>
                <w:sz w:val="24"/>
              </w:rPr>
              <w:t>（元）</w:t>
            </w:r>
          </w:p>
        </w:tc>
      </w:tr>
      <w:tr>
        <w:tc>
          <w:tcPr>
            <w:tcW w:type="dxa" w:w="697"/>
            <w:tcBorders>
              <w:top w:val="none" w:color="000000" w:sz="4"/>
              <w:left w:val="single" w:color="000000" w:sz="4"/>
              <w:bottom w:val="single" w:color="000000" w:sz="4"/>
              <w:right w:val="single" w:color="000000" w:sz="4"/>
            </w:tcBorders>
            <w:vAlign w:val="top"/>
          </w:tcPr>
          <w:p>
            <w:pPr>
              <w:jc w:val="center"/>
            </w:pPr>
            <w:r>
              <w:rPr>
                <w:sz w:val="24"/>
              </w:rPr>
              <w:t>1</w:t>
            </w:r>
          </w:p>
        </w:tc>
        <w:tc>
          <w:tcPr>
            <w:tcW w:type="dxa" w:w="1162"/>
            <w:tcBorders>
              <w:top w:val="none" w:color="000000" w:sz="4"/>
              <w:left w:val="none" w:color="000000" w:sz="4"/>
              <w:bottom w:val="single" w:color="000000" w:sz="4"/>
              <w:right w:val="single" w:color="000000" w:sz="4"/>
            </w:tcBorders>
            <w:vAlign w:val="top"/>
          </w:tcPr>
          <w:p>
            <w:pPr>
              <w:jc w:val="center"/>
            </w:pPr>
            <w:r>
              <w:rPr>
                <w:b/>
                <w:sz w:val="24"/>
              </w:rPr>
              <w:t>应急储备物资</w:t>
            </w:r>
          </w:p>
        </w:tc>
        <w:tc>
          <w:tcPr>
            <w:tcW w:type="dxa" w:w="852"/>
            <w:tcBorders>
              <w:top w:val="none" w:color="000000" w:sz="4"/>
              <w:left w:val="none" w:color="000000" w:sz="4"/>
              <w:bottom w:val="single" w:color="000000" w:sz="4"/>
              <w:right w:val="single" w:color="000000" w:sz="4"/>
            </w:tcBorders>
            <w:vAlign w:val="top"/>
          </w:tcPr>
          <w:p>
            <w:pPr>
              <w:jc w:val="center"/>
            </w:pPr>
            <w:r>
              <w:rPr>
                <w:sz w:val="24"/>
              </w:rPr>
              <w:t>一批</w:t>
            </w:r>
          </w:p>
        </w:tc>
        <w:tc>
          <w:tcPr>
            <w:tcW w:type="dxa" w:w="1808"/>
            <w:tcBorders>
              <w:top w:val="none" w:color="000000" w:sz="4"/>
              <w:left w:val="none" w:color="000000" w:sz="4"/>
              <w:bottom w:val="single" w:color="000000" w:sz="4"/>
              <w:right w:val="single" w:color="000000" w:sz="4"/>
            </w:tcBorders>
            <w:vAlign w:val="top"/>
          </w:tcPr>
          <w:p>
            <w:pPr>
              <w:jc w:val="center"/>
            </w:pPr>
            <w:r>
              <w:rPr>
                <w:sz w:val="24"/>
              </w:rPr>
              <w:t>签订合同之日起</w:t>
            </w:r>
            <w:r>
              <w:rPr>
                <w:sz w:val="24"/>
              </w:rPr>
              <w:t>20天内完成供货。</w:t>
            </w:r>
          </w:p>
        </w:tc>
        <w:tc>
          <w:tcPr>
            <w:tcW w:type="dxa" w:w="2079"/>
            <w:tcBorders>
              <w:top w:val="none" w:color="000000" w:sz="4"/>
              <w:left w:val="none" w:color="000000" w:sz="4"/>
              <w:bottom w:val="single" w:color="000000" w:sz="4"/>
              <w:right w:val="single" w:color="000000" w:sz="4"/>
            </w:tcBorders>
            <w:vAlign w:val="top"/>
          </w:tcPr>
          <w:p>
            <w:pPr>
              <w:jc w:val="both"/>
            </w:pPr>
            <w:r>
              <w:rPr>
                <w:sz w:val="24"/>
              </w:rPr>
              <w:t>完成全部应急物资供货和入库工作。</w:t>
            </w:r>
          </w:p>
        </w:tc>
        <w:tc>
          <w:tcPr>
            <w:tcW w:type="dxa" w:w="1653"/>
            <w:tcBorders>
              <w:top w:val="none" w:color="000000" w:sz="4"/>
              <w:left w:val="none" w:color="000000" w:sz="4"/>
              <w:bottom w:val="single" w:color="000000" w:sz="4"/>
              <w:right w:val="single" w:color="000000" w:sz="4"/>
            </w:tcBorders>
            <w:vAlign w:val="top"/>
          </w:tcPr>
          <w:p>
            <w:pPr>
              <w:jc w:val="center"/>
            </w:pPr>
            <w:r>
              <w:rPr>
                <w:sz w:val="24"/>
              </w:rPr>
              <w:t>8,545,500.00</w:t>
            </w:r>
          </w:p>
        </w:tc>
      </w:tr>
      <w:tr>
        <w:tc>
          <w:tcPr>
            <w:tcW w:type="dxa" w:w="697"/>
            <w:tcBorders>
              <w:top w:val="none" w:color="000000" w:sz="4"/>
              <w:left w:val="single" w:color="000000" w:sz="4"/>
              <w:bottom w:val="single" w:color="000000" w:sz="4"/>
              <w:right w:val="single" w:color="000000" w:sz="4"/>
            </w:tcBorders>
            <w:vAlign w:val="top"/>
          </w:tcPr>
          <w:p>
            <w:pPr>
              <w:jc w:val="center"/>
            </w:pPr>
            <w:r>
              <w:rPr>
                <w:sz w:val="24"/>
              </w:rPr>
              <w:t>2</w:t>
            </w:r>
          </w:p>
        </w:tc>
        <w:tc>
          <w:tcPr>
            <w:tcW w:type="dxa" w:w="1162"/>
            <w:tcBorders>
              <w:top w:val="none" w:color="000000" w:sz="4"/>
              <w:left w:val="none" w:color="000000" w:sz="4"/>
              <w:bottom w:val="single" w:color="000000" w:sz="4"/>
              <w:right w:val="single" w:color="000000" w:sz="4"/>
            </w:tcBorders>
            <w:vAlign w:val="top"/>
          </w:tcPr>
          <w:p>
            <w:pPr>
              <w:jc w:val="center"/>
            </w:pPr>
            <w:r>
              <w:rPr>
                <w:b/>
                <w:sz w:val="24"/>
              </w:rPr>
              <w:t>应急物资储备管理费（</w:t>
            </w:r>
            <w:r>
              <w:rPr>
                <w:b/>
                <w:sz w:val="24"/>
              </w:rPr>
              <w:t>1年）</w:t>
            </w:r>
          </w:p>
        </w:tc>
        <w:tc>
          <w:tcPr>
            <w:tcW w:type="dxa" w:w="852"/>
            <w:tcBorders>
              <w:top w:val="none" w:color="000000" w:sz="4"/>
              <w:left w:val="none" w:color="000000" w:sz="4"/>
              <w:bottom w:val="single" w:color="000000" w:sz="4"/>
              <w:right w:val="single" w:color="000000" w:sz="4"/>
            </w:tcBorders>
            <w:vAlign w:val="top"/>
          </w:tcPr>
          <w:p>
            <w:pPr>
              <w:jc w:val="center"/>
            </w:pPr>
            <w:r>
              <w:rPr>
                <w:sz w:val="24"/>
              </w:rPr>
              <w:t>一项</w:t>
            </w:r>
          </w:p>
        </w:tc>
        <w:tc>
          <w:tcPr>
            <w:tcW w:type="dxa" w:w="1808"/>
            <w:tcBorders>
              <w:top w:val="none" w:color="000000" w:sz="4"/>
              <w:left w:val="none" w:color="000000" w:sz="4"/>
              <w:bottom w:val="single" w:color="000000" w:sz="4"/>
              <w:right w:val="single" w:color="000000" w:sz="4"/>
            </w:tcBorders>
            <w:vAlign w:val="top"/>
          </w:tcPr>
          <w:p>
            <w:pPr>
              <w:jc w:val="center"/>
            </w:pPr>
            <w:r>
              <w:rPr>
                <w:sz w:val="24"/>
              </w:rPr>
              <w:t>储备管理期为一年，以签订合同为准。</w:t>
            </w:r>
          </w:p>
        </w:tc>
        <w:tc>
          <w:tcPr>
            <w:tcW w:type="dxa" w:w="2079"/>
            <w:tcBorders>
              <w:top w:val="none" w:color="000000" w:sz="4"/>
              <w:left w:val="none" w:color="000000" w:sz="4"/>
              <w:bottom w:val="single" w:color="000000" w:sz="4"/>
              <w:right w:val="single" w:color="000000" w:sz="4"/>
            </w:tcBorders>
            <w:vAlign w:val="top"/>
          </w:tcPr>
          <w:p>
            <w:pPr>
              <w:jc w:val="both"/>
            </w:pPr>
            <w:r>
              <w:rPr>
                <w:sz w:val="24"/>
              </w:rPr>
              <w:t>负责合同期内应急物资储备代储、代轮换、执行动用等管理，以及合同期满后按合同等价值回购全部应急储备物资。</w:t>
            </w:r>
          </w:p>
        </w:tc>
        <w:tc>
          <w:tcPr>
            <w:tcW w:type="dxa" w:w="1653"/>
            <w:tcBorders>
              <w:top w:val="none" w:color="000000" w:sz="4"/>
              <w:left w:val="none" w:color="000000" w:sz="4"/>
              <w:bottom w:val="single" w:color="000000" w:sz="4"/>
              <w:right w:val="single" w:color="000000" w:sz="4"/>
            </w:tcBorders>
            <w:vAlign w:val="top"/>
          </w:tcPr>
          <w:p>
            <w:pPr>
              <w:jc w:val="center"/>
            </w:pPr>
            <w:r>
              <w:rPr>
                <w:sz w:val="24"/>
              </w:rPr>
              <w:t>854,500.00</w:t>
            </w:r>
          </w:p>
        </w:tc>
      </w:tr>
    </w:tbl>
    <w:p/>
    <w:p>
      <w:pPr>
        <w:ind w:firstLine="480"/>
      </w:pPr>
    </w:p>
    <w:p/>
    <w:p>
      <w:r>
        <w:rPr/>
        <w:t>合同包1（云浮市应急物资保障体系建设补助资金（中央直达资金）项目）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储备管理期为一年，以签订合同为准，签订合同之日起20天内完成全部应急物资供货和入库工作。</w:t>
            </w:r>
          </w:p>
        </w:tc>
      </w:tr>
      <w:tr>
        <w:tc>
          <w:tcPr>
            <w:tcW w:type="dxa" w:w="4153"/>
          </w:tcPr>
          <w:p>
            <w:r>
              <w:rPr/>
              <w:t>标的提供的地点</w:t>
            </w:r>
          </w:p>
        </w:tc>
        <w:tc>
          <w:tcPr>
            <w:tcW w:type="dxa" w:w="4153"/>
          </w:tcPr>
          <w:p/>
          <w:p>
            <w:r>
              <w:rPr/>
              <w:t>中标人储存应急储备物资的仓库应为中标人的自有仓库或具有使用权的仓库（需提供权属证明文件、使用权证明文件）。仓库要符合疫情防控应急物资储备的有关规定，具备良好的防湿、防锈、防潮、防雨、防腐、防碰撞、消防、卫生等条件，且便于应急供应运输。凡由于中标人措施不全造成的损失和由此产生的费用均由中标人承担。</w:t>
            </w:r>
          </w:p>
        </w:tc>
      </w:tr>
      <w:tr>
        <w:tc>
          <w:tcPr>
            <w:tcW w:type="dxa" w:w="4153"/>
          </w:tcPr>
          <w:p>
            <w:r>
              <w:rPr/>
              <w:t>付款方式</w:t>
            </w:r>
          </w:p>
        </w:tc>
        <w:tc>
          <w:tcPr>
            <w:tcW w:type="dxa" w:w="4153"/>
          </w:tcPr>
          <w:p/>
          <w:p/>
          <w:p>
            <w:r>
              <w:rPr/>
              <w:t>1期：支付比例100%,（一）合同期限1年，合同在双方法定代表人或其授权代表签字盖章后生效。合同期满日前，采购人可根据实际需要与中标人协商延长合同期限（储备期限）。 （二）应急物资采购资金、储备管理费采取定额包干方式，中标人按合同要求完成储备任务后，如市场价格变动导致实际采购价格高于合同价格时，采购人不追加资金，由中标人自行解决。 （三）采购人付款程序 1.应急物资采购款：应急物资入库并经采购人验收合格后，中标人可向采购人申请支付应急物资采购款。采购人接到中标人发票等资料后向中标人支付物资采购款。 2.储备管理费：储备管理费由中标人在申请支付应急物资采购款时一并申请，采购人接到发票等有关资料后支付。经协商延长储备期的，延长期的储备管理费由中标人在延长期结束前三个月内向采购人提出支付申请。 中标人须向采购人出具合法有效完整的完税发票等资料，采购人接到并核实中标人票据凭证等资料后30天内完成有关款项支付。 （四）中标人申请支付需要提交有效文件 1.中标通知书； 2.合同； 3.中标人开具的正式发票； 4.验收报告（加盖采购人公章）。 （五）付款方式：采用银行转账等形式。 （六）特别说明。因采购人使用的是财政资金，采购人在前款规定的付款时间为向政府采购支付部门提出办理财政支付申请手续的时间（不含政府财政部门审核的时间），在规定时间内提出支付申请手续后即视为采购人已经按期支付。</w:t>
            </w:r>
          </w:p>
        </w:tc>
      </w:tr>
      <w:tr>
        <w:tc>
          <w:tcPr>
            <w:tcW w:type="dxa" w:w="4153"/>
          </w:tcPr>
          <w:p>
            <w:r>
              <w:rPr/>
              <w:t>验收要求</w:t>
            </w:r>
          </w:p>
        </w:tc>
        <w:tc>
          <w:tcPr>
            <w:tcW w:type="dxa" w:w="4153"/>
          </w:tcPr>
          <w:p/>
          <w:p/>
          <w:p/>
          <w:p>
            <w:r>
              <w:rPr/>
              <w:t>1期：（一）中标人应按有关规定组织对应急储备物资进行测试，并配合采购人验收。 （二）若在验收过程中发现中标人所承储货物低于或不满足所投相关产品技术参数指标及要求，采购人有权要求中标人退换产品，中标人应当立即更换符合采购人要求的承储物资，由此产生的费用由中标人承担。 （三）采购人组成验收小组按国家有关规定、规范进行验收，必要时邀请相关的专业人员或机构参与验收。</w:t>
            </w:r>
          </w:p>
        </w:tc>
      </w:tr>
      <w:tr>
        <w:tc>
          <w:tcPr>
            <w:tcW w:type="dxa" w:w="4153"/>
          </w:tcPr>
          <w:p>
            <w:r>
              <w:rPr/>
              <w:t>履约保证金</w:t>
            </w:r>
          </w:p>
        </w:tc>
        <w:tc>
          <w:tcPr>
            <w:tcW w:type="dxa" w:w="4153"/>
          </w:tcPr>
          <w:p/>
          <w:p/>
          <w:p/>
          <w:p/>
          <w:p>
            <w:r>
              <w:rPr/>
              <w:t>收取比例：5%,说明：（一）中标人需在应急物资首次入库完成后5个工作日内，按合同价的5%,以支票、汇票、本票或者金融机构、担保机构出具的保函等非现金形式交纳合同履约保证金。 （二）合同期间，若中标人违约，应按违约责任条款约定向采购人支付违约金，超过30天仍未支付的，采购人有权在中标人交纳的履约保证金中直接扣款，或由中标人的履约担保机构、金融机构等按照有关约定进行赔付；如中标人交纳的合同履约保证金不足以抵偿采购人的损失，采购人有权要求中标人赔偿超出合同履约保证金数额的损失，并由中标人承担违约责任；合同顺利履行完毕，且中标人按有关约定完全履行了违约责任后，采购人应在30日内如数无息退回合同履约保证金给中标人，或者中标人的履约保函自动失效。</w:t>
            </w:r>
          </w:p>
        </w:tc>
      </w:tr>
      <w:tr>
        <w:tc>
          <w:tcPr>
            <w:tcW w:type="dxa" w:w="4153"/>
          </w:tcPr>
          <w:p>
            <w:r>
              <w:rPr/>
              <w:t>其他</w:t>
            </w:r>
          </w:p>
        </w:tc>
        <w:tc>
          <w:tcPr>
            <w:tcW w:type="dxa" w:w="4153"/>
          </w:tcPr>
          <w:p/>
          <w:p/>
          <w:p>
            <w:r>
              <w:rPr/>
              <w:t>其他，★一、等值回购 等值回购是指中标人按照中标单价等价值回购合同约定储备数量（动用过的除外）的应急储备物资，按约定向采购人支付等值回购资金，等值回购资金＝中标单价×储备数量。如合同期间发生动用过应急储备物资，且采购人不要求中标人补充库存的，则中标人按合同到期日当天的实际储备数量等价值回购。中标人须在合同期满当天将等值回购资金无息转账到采购人指定账户，若因中标人原因逾期支付等值回购资金给采购人的，中标人须按照全国银行拆借中心公布的一年期贷款市场报价利率（LPR）计算逾期利息，并将本金（等值回购资金）和相应逾期利息支付给采购人。（提供承诺书） 二、储备管理费 以应急物资储备采购金额、中标年储备费率和储备年限计算储备管理费，定额包干使用。本次采购要求各投标人报出年储备费率，年储备费率在0～10%之间取值。即：储备管理费＝应急物资储备采购金额×年储备费率×实际储备年限。合同期间，发生动用应急物资储备的，储备管理费分段计算，实际动用后的物资从实际动用当天开始不计算储备管理费，若采购人要求中标人按合同约定数量补足库存物资的，补足库存部分物资则从实际补足入库并通过采购人验收合格当天开始计算储备管理费，实际储备年限不足一年的折算为天计算。 三、项目商务要求 （一）总体要求 1.中标人应严格谨守有关法律法规，按照本办法规定和承储合同约定，认真做好应急物资供货、入库、代储、代轮换及执行动用等管理工作，自觉服从采购人的各项工作要求，对承储的应急储备物资数量真实、质量良好、储存安全负直接、完全责任，确保应急储备物资储得进、管得好、调得动、用得上，储备期结束后，按照中标单价和储备数量进行等价值回购全部应急储备物资。 2.中标人要自觉接受应急物资项目全过程监督、核查、检查、指导和验收，按照要求提供涉及应急物资项目的相关资料。 3.应急储备物资实行动态管理，可根据需要进行调整。如需要对应急储备物资进行调整则由采购人提前至少20天书面通知中标人，调整部分物资的单价按照中标单价计算。 4.中标人应按要求完成应急物资项目收储任务，并将完成情况及时报告采购人。 5.采购人应通过与中标人签订储备协议等方式，明确各方权利及责任、应急响应状态下，经采购人同意，可先行由中标人组织物资采购入库，后签储备协议。 6.中标人不能以应急储备物资对外进行质押、担保或者清偿债务。同时，如中标人发生股权、法定代表人、经营地址变更或进入撤销、解散、破产程序时，应立即书面告知采购人。 （二）储备管理期及储备库点 1.储备管理期：储备管理期为一年，以签订合同为准。合同期满日前，采购人可根据实际需要与中标人协商延长储备期限（合同期限），延长期内的储备管理费率按中标年储备费率计算，并按合同约定计算延长期的储备管理费。 2.储备库点：中标人储存应急储备物资的仓库应为中标人的自有仓库或具有使用权的仓库（需提供权属证明文件、使用权证明文件）。仓库要符合疫情防控应急物资储备的有关规定，具备良好的防湿、防锈、防潮、防雨、防腐、防碰撞、消防、卫生等条件，且便于应急供应运输。凡由于中标人措施不全造成的损失和由此产生的费用均由中标人承担。 （三）储备管理要求 1.入库管理 中标人须在签订合同之日起20天内完成全部应急储备物资供货和入库工作，应急储备物资质量符合国家强制性标准或经注册或备案的产品技术要求。 2.在库管理 （1）实行专仓（区）分品种储存，不得与不同权属、不同性质、不同批次、不同轮换方式的物资混放。 （2）仓库应位于同一库点，确保调度的灵活性和高效性，且安装远程高清视频监控系统（视频记录不得低于30日），便于日常管理和检查。 （3）储存库点经中标人核准落实并报采购人备案后，未经采购人批准，中标人不得擅自变更。如遇特殊情况需变更储存点或变换仓（区）时，须报采购人书面同意后实施。 （4）中标人按要求及时报备储存仓库具体地址、仓库平面图和分仓平面图、各仓库面积、库区第一责任人和第二责任人、联系电话等仓库信息，以及仓库所有权或使用权的证明材料。 3.日常管理 （1）中标人应当在仓库入口明显位置悬挂相关标识，及时更新实物数量、质量信息，确保其与企业自身管理系统信息相一致。 （2）应急物资项目资金的使用范围为防护物资、消杀药、消杀器械、其他物资等4类应急储备物资的采购、轮换及管理费用支出，以及执行动用指令出库、配送、补库等费用。原则上应封闭运行，专款专用，不得挪用占用，不得用于购买理财产品等其他用途。 （3）中标人应制定和完善相关资金管理制度，健全工作机制，加强项目资金管理。资金支出需资料齐全（合同、有效票据、验收入库资料等）、手续合法合规。 （4）应急物资项目实行专账管理，中标人应按要求建立保管账、统计账，在企业财务总账中设立专门明细科目核算，切实做到账实相符、账账相符。相关报表每月终5个工作日内报采购人。中标人应当完整地留存采购合同、有关票据等原始凭证备查，留存期限不得少于3年。 4.质量管理 中标人对应急物资储备质量负责，加强对在库质量管理，确保符合国家和省有关质量标准要求。必要时，由中标人组织第三方机构对库存应急储备物资进行数量清点和质量检验，所需费用由中标人支付。采购人有权对应急物资质量进行抽检，若需委托第三方进行检测，检测结论为合格，费用由采购人支付；检测结论为不合格，费用则由中标人支付。 5.轮换管理 中标人应及时对应急储备物资进行轮换，保证在有效期内，原则上应距离失效日期至少6个月以上，确保常储常新和质量安全。防护物资、消杀物资、消杀器械、其他物资因轮换原因，实际库存数量可以低于合同约定储备数量，但不得低于合同约定储备数量的70%。轮换期间发生的损耗、差价、利息、管理等一切费用由中标人自行消化。 6.动用管理 中标人不得擅自动用应急储备物资，全部物资所有权、动用权属于采购人。需要动用物资时，中标人须无条件服从动用安排，全力做好出库、配送等工作。动用物资后，采购人要求中标人按照合同约定数量补足库存的，中标人应及时补足库存（补库物资的单价按中标单价计算）。 已动用的物资由中标人和物资接收人按照市场价格和实际动用数量进行结算，物资接收人在接收物资后30天内按实际结算金额支付给中标人。 因物资接收人书面告知采购人，表明其无法向中标人支付动用物资结算资金的，由采购人书面通知中标人，对已动用应急储备物资按中标单价与动用数量价值核减等值回购资金，不再按合同数量补足库存，储备管理费等按照约定方式作相应扣减。 ★投标人承诺：在接到调拨指令后，投标人应迅速对指令进行响应，安排人员和车辆对需要动用的物资进行出库和配送，器械和设备还应免费安装、调试，并承诺8小时内配送到采购人指定地点（提供承诺书）。 动用程序： （1）采购人根据动用指令，向中标人下达应急储备物资调拨指令。紧急情况下，可以通过电话等形式向中标人下达指令。 （2）中标人接到采购人调拨指令后，应迅速对指令进行响应，安排人员和车辆对需要动用的物资进行出库和配送，并承诺8小时内配送到采购人指定地点。 （3）中标人应按物资接收单位要求进行配送及协调生产厂家进行安装调试。物资送达（调试）后，物资接收单位应现场进行清点，确认无误后，进行签收。 7.信息报送 中标人须按照要求及时报送报表，并对报表数据的真实性、准确性负责。 8.保密要求 中标人须遵守保密规定，对应急物资项目全周期过程中知悉的信息予以保密。 （四）报价要求 1.投标人的投标报价须以人民币元为单位（小数点后保留两位小数），所报的总额不得高于最高限价人民币玖佰肆拾万元整（9,400,000.00元），其中，采购应急物资金额为捌佰伍拾肆万伍仟伍佰元整（8,545,500.00元），且应急物资清单报价不得高于该金额，否则其报价将被视为无效；一年期物资储备管理费金额为捌拾伍万肆仟伍佰元整（854,500.00元），年储备费率必须在0～10%之间取值，否则其报价将被视为无效。 2.投标报价为含税全包价，应急物资金额须包含所有物资及其附件的设计、制造、采购、检测、运输、搬运、卸货、保险、现场仓储、验收、技术服务、售后保障、税费等一切费用；储备管理费用包含日常保管、轮换、检测、损耗、折旧、利息、税费等完成合同规定责任和义务、达到合同目的的一切费用。 3.合同储备数量。附表一中的计划数量将作为合同储备数量,具体以合同约定为准。 4.合同价计算方式。合同价＝应急物资储备采购金额＋储备管理费，即合同价＝（中标单价×合同储备数量）＋（中标单价×合同储备数量）×年储备费率×1年。 四、违约责任 （一）中标人未履行相关责任，视为违约，采购人可取消其中标资格或终止合同，收回相应资金，并追究相关责任。 （二）中标人未按照有关规定落实本项目，或在管理中未按照整改要求落实整改的，采购人有权根据具体情况要求中标人承担相应的违约责任。若采购人要求解除合同的，中标人应当立即返还物资采购资金和储备管理费，逾期未返还的，按照全国银行拆借中心公布的一年期贷款市场报价利率（LPR）计算逾期利息；若采购人要求继续履行合同的，则采购人有权按中标人的违约责任大小，在物资采购资金、储备管理费和合同履约保证金中扣除相应的金额。 （三）因中标人原因（不可抗力除外）造成物资数量和质量损失的，损失由中标人负责，中标人需及时补齐相关物资，且相关物资补齐前，采购人有权根据具体情况扣除对应部分的储备管理费。 （四）因中标人原因导致未能按要求完成储备任务，或发生质量安全事故，或物资调拨不及时导致不良后果的，中标人要采取补救措施，并依法赔偿经济损失。 （五）投标人承诺：生产经营资质符合国家和省有关规定，储备的物资质量标准符合国家规定。（提供承诺书） （六）其他具体的违约责任，依据法律、法规相应规定及签订的具体合同执行。</w:t>
            </w:r>
          </w:p>
        </w:tc>
      </w:tr>
    </w:tbl>
    <w:p/>
    <w:p>
      <w:r>
        <w:rPr/>
        <w:t>其他商务需求</w:t>
      </w:r>
    </w:p>
    <w:p/>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jc w:val="center"/>
            </w:pPr>
            <w:r>
              <w:rPr/>
              <w:t>参数性质</w:t>
            </w:r>
          </w:p>
        </w:tc>
        <w:tc>
          <w:tcPr>
            <w:tcW w:type="dxa" w:w="2076"/>
          </w:tcPr>
          <w:p>
            <w:pPr>
              <w:jc w:val="center"/>
            </w:pPr>
            <w:r>
              <w:rPr/>
              <w:t>编号</w:t>
            </w:r>
          </w:p>
        </w:tc>
        <w:tc>
          <w:tcPr>
            <w:tcW w:type="dxa" w:w="2076"/>
          </w:tcPr>
          <w:p>
            <w:pPr>
              <w:jc w:val="center"/>
            </w:pPr>
            <w:r>
              <w:rPr/>
              <w:t>内容明细</w:t>
            </w:r>
          </w:p>
        </w:tc>
        <w:tc>
          <w:tcPr>
            <w:tcW w:type="dxa" w:w="2076"/>
          </w:tcPr>
          <w:p>
            <w:pPr>
              <w:jc w:val="center"/>
            </w:pPr>
            <w:r>
              <w:rPr/>
              <w:t>内容说明</w:t>
            </w:r>
          </w:p>
        </w:tc>
      </w:tr>
      <w:tr>
        <w:tc>
          <w:tcPr>
            <w:tcW w:type="dxa" w:w="2076"/>
          </w:tcPr>
          <w:p>
            <w:pPr>
              <w:jc w:val="center"/>
            </w:pPr>
            <w:r>
              <w:rPr/>
              <w:t>★</w:t>
            </w:r>
          </w:p>
        </w:tc>
        <w:tc>
          <w:tcPr>
            <w:tcW w:type="dxa" w:w="2076"/>
          </w:tcPr>
          <w:p>
            <w:pPr>
              <w:jc w:val="center"/>
            </w:pPr>
            <w:r>
              <w:rPr/>
              <w:t>1</w:t>
            </w:r>
          </w:p>
        </w:tc>
        <w:tc>
          <w:tcPr>
            <w:tcW w:type="dxa" w:w="2076"/>
          </w:tcPr>
          <w:p>
            <w:pPr>
              <w:jc w:val="left"/>
            </w:pPr>
            <w:r>
              <w:rPr/>
              <w:t>★等值回购</w:t>
            </w:r>
          </w:p>
        </w:tc>
        <w:tc>
          <w:tcPr>
            <w:tcW w:type="dxa" w:w="2076"/>
          </w:tcPr>
          <w:p>
            <w:pPr>
              <w:jc w:val="left"/>
            </w:pPr>
            <w:r>
              <w:rPr/>
              <w:t>等值回购是指中标人按照中标单价等价值回购合同约定储备数量（动用过的除外）的应急储备物资，按约定向采购人支付等值回购资金，等值回购资金＝中标单价×储备数量。如合同期间发生动用过应急储备物资，且采购人不要求中标人补充库存的，则中标人按合同到期日当天的实际储备数量等价值回购。中标人须在合同期满当天将等值回购资金无息转账到采购人指定账户，若因中标人原因逾期支付等值回购资金给采购人的，中标人须按照全国银行拆借中心公布的一年期贷款市场报价利率（LPR）计算逾期利息，并将本金（等值回购资金）和相应逾期利息支付给采购人。（提供承诺书）</w:t>
            </w:r>
          </w:p>
        </w:tc>
      </w:tr>
      <w:tr>
        <w:tc>
          <w:tcPr>
            <w:tcW w:type="dxa" w:w="2076"/>
          </w:tcPr>
          <w:p>
            <w:pPr>
              <w:jc w:val="center"/>
            </w:pPr>
            <w:r>
              <w:rPr/>
              <w:t>★</w:t>
            </w:r>
          </w:p>
        </w:tc>
        <w:tc>
          <w:tcPr>
            <w:tcW w:type="dxa" w:w="2076"/>
          </w:tcPr>
          <w:p>
            <w:pPr>
              <w:jc w:val="center"/>
            </w:pPr>
            <w:r>
              <w:rPr/>
              <w:t>2</w:t>
            </w:r>
          </w:p>
        </w:tc>
        <w:tc>
          <w:tcPr>
            <w:tcW w:type="dxa" w:w="2076"/>
          </w:tcPr>
          <w:p>
            <w:pPr>
              <w:jc w:val="left"/>
            </w:pPr>
            <w:r>
              <w:rPr/>
              <w:t>★投标人承诺</w:t>
            </w:r>
          </w:p>
        </w:tc>
        <w:tc>
          <w:tcPr>
            <w:tcW w:type="dxa" w:w="2076"/>
          </w:tcPr>
          <w:p>
            <w:pPr>
              <w:jc w:val="left"/>
            </w:pPr>
            <w:r>
              <w:rPr/>
              <w:t>在接到调拨指令后，投标人应迅速对指令进行响应，安排人员和车辆对需要动用的物资进行出库和配送，器械和设备还应免费安装、调试，并承诺8小时内配送到采购人指定地点（提供承诺书）。</w:t>
            </w:r>
          </w:p>
        </w:tc>
      </w:tr>
    </w:tbl>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r>
              <w:rPr/>
              <w:t>说明</w:t>
            </w:r>
          </w:p>
        </w:tc>
        <w:tc>
          <w:tcPr>
            <w:tcW w:type="dxa" w:w="5538"/>
            <w:gridSpan w:val="2"/>
          </w:tcPr>
          <w:p>
            <w:pPr>
              <w:jc w:val="left"/>
            </w:pPr>
            <w:r>
              <w:rPr/>
              <w:t>打“★”号条款为实质性条款，若有任何一条负偏离或不满足则导致投标（响应）无效。</w:t>
            </w:r>
            <w:r>
              <w:br/>
            </w:r>
            <w:r>
              <w:rPr/>
              <w:t>打“▲”号条款为重要参数（如有），若有部分“▲”条款未响应或不满足，将根据评审要求影响其得分，但不作为无效投标（响应）条款。</w:t>
            </w:r>
          </w:p>
        </w:tc>
      </w:tr>
    </w:tbl>
    <w:p>
      <w:r>
        <w:rPr>
          <w:b/>
        </w:rPr>
        <w:t>2.技术标准与要求</w:t>
      </w:r>
    </w:p>
    <w:p/>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jc w:val="center"/>
            </w:pPr>
            <w:r>
              <w:rPr/>
              <w:t>序号</w:t>
            </w:r>
          </w:p>
        </w:tc>
        <w:tc>
          <w:tcPr>
            <w:tcW w:type="dxa" w:w="831"/>
          </w:tcPr>
          <w:p>
            <w:pPr>
              <w:jc w:val="center"/>
            </w:pPr>
            <w:r>
              <w:rPr/>
              <w:t>核心产品要求（“△”）</w:t>
            </w:r>
          </w:p>
        </w:tc>
        <w:tc>
          <w:tcPr>
            <w:tcW w:type="dxa" w:w="831"/>
          </w:tcPr>
          <w:p>
            <w:pPr>
              <w:jc w:val="center"/>
            </w:pPr>
            <w:r>
              <w:rPr/>
              <w:t>品目名称</w:t>
            </w:r>
          </w:p>
        </w:tc>
        <w:tc>
          <w:tcPr>
            <w:tcW w:type="dxa" w:w="831"/>
          </w:tcPr>
          <w:p>
            <w:pPr>
              <w:jc w:val="center"/>
            </w:pPr>
            <w:r>
              <w:rPr/>
              <w:t>标的名称</w:t>
            </w:r>
          </w:p>
        </w:tc>
        <w:tc>
          <w:tcPr>
            <w:tcW w:type="dxa" w:w="831"/>
          </w:tcPr>
          <w:p>
            <w:pPr>
              <w:jc w:val="center"/>
            </w:pPr>
            <w:r>
              <w:rPr/>
              <w:t>单位</w:t>
            </w:r>
          </w:p>
        </w:tc>
        <w:tc>
          <w:tcPr>
            <w:tcW w:type="dxa" w:w="831"/>
          </w:tcPr>
          <w:p>
            <w:pPr>
              <w:jc w:val="center"/>
            </w:pPr>
            <w:r>
              <w:rPr/>
              <w:t>数量</w:t>
            </w:r>
          </w:p>
        </w:tc>
        <w:tc>
          <w:tcPr>
            <w:tcW w:type="dxa" w:w="831"/>
          </w:tcPr>
          <w:p>
            <w:pPr>
              <w:jc w:val="center"/>
            </w:pPr>
            <w:r>
              <w:rPr/>
              <w:t>分项预算单价（元）</w:t>
            </w:r>
          </w:p>
        </w:tc>
        <w:tc>
          <w:tcPr>
            <w:tcW w:type="dxa" w:w="831"/>
          </w:tcPr>
          <w:p>
            <w:pPr>
              <w:jc w:val="center"/>
            </w:pPr>
            <w:r>
              <w:rPr/>
              <w:t>分项预算总价（元）</w:t>
            </w:r>
          </w:p>
        </w:tc>
        <w:tc>
          <w:tcPr>
            <w:tcW w:type="dxa" w:w="831"/>
          </w:tcPr>
          <w:p>
            <w:r>
              <w:rPr/>
              <w:t>所属行业</w:t>
            </w:r>
          </w:p>
        </w:tc>
        <w:tc>
          <w:tcPr>
            <w:tcW w:type="dxa" w:w="831"/>
          </w:tcPr>
          <w:p>
            <w:pPr>
              <w:jc w:val="center"/>
            </w:pPr>
            <w:r>
              <w:rPr/>
              <w:t>技术要求</w:t>
            </w:r>
          </w:p>
        </w:tc>
      </w:tr>
      <w:tr>
        <w:tc>
          <w:tcPr>
            <w:tcW w:type="dxa" w:w="831"/>
          </w:tcPr>
          <w:p>
            <w:pPr>
              <w:jc w:val="center"/>
            </w:pPr>
            <w:r>
              <w:rPr/>
              <w:t>1</w:t>
            </w:r>
          </w:p>
        </w:tc>
        <w:tc>
          <w:tcPr>
            <w:tcW w:type="dxa" w:w="831"/>
          </w:tcPr>
          <w:p>
            <w:pPr>
              <w:jc w:val="center"/>
            </w:pPr>
          </w:p>
        </w:tc>
        <w:tc>
          <w:tcPr>
            <w:tcW w:type="dxa" w:w="831"/>
          </w:tcPr>
          <w:p>
            <w:pPr>
              <w:jc w:val="left"/>
            </w:pPr>
            <w:r>
              <w:rPr/>
              <w:t>其他货物</w:t>
            </w:r>
          </w:p>
        </w:tc>
        <w:tc>
          <w:tcPr>
            <w:tcW w:type="dxa" w:w="831"/>
          </w:tcPr>
          <w:p>
            <w:pPr>
              <w:jc w:val="left"/>
            </w:pPr>
            <w:r>
              <w:rPr/>
              <w:t>应急储备物资</w:t>
            </w:r>
          </w:p>
        </w:tc>
        <w:tc>
          <w:tcPr>
            <w:tcW w:type="dxa" w:w="831"/>
          </w:tcPr>
          <w:p>
            <w:pPr>
              <w:jc w:val="left"/>
            </w:pPr>
            <w:r>
              <w:rPr/>
              <w:t>批</w:t>
            </w:r>
          </w:p>
        </w:tc>
        <w:tc>
          <w:tcPr>
            <w:tcW w:type="dxa" w:w="831"/>
          </w:tcPr>
          <w:p>
            <w:pPr>
              <w:jc w:val="right"/>
            </w:pPr>
            <w:r>
              <w:rPr/>
              <w:t>1.00</w:t>
            </w:r>
          </w:p>
        </w:tc>
        <w:tc>
          <w:tcPr>
            <w:tcW w:type="dxa" w:w="831"/>
          </w:tcPr>
          <w:p>
            <w:pPr>
              <w:jc w:val="right"/>
            </w:pPr>
            <w:r>
              <w:rPr/>
              <w:t>8,545,500.00</w:t>
            </w:r>
          </w:p>
        </w:tc>
        <w:tc>
          <w:tcPr>
            <w:tcW w:type="dxa" w:w="831"/>
          </w:tcPr>
          <w:p>
            <w:pPr>
              <w:jc w:val="right"/>
            </w:pPr>
            <w:r>
              <w:rPr/>
              <w:t>8,545,500.00</w:t>
            </w:r>
          </w:p>
        </w:tc>
        <w:tc>
          <w:tcPr>
            <w:tcW w:type="dxa" w:w="831"/>
          </w:tcPr>
          <w:p>
            <w:r>
              <w:rPr/>
              <w:t>工业</w:t>
            </w:r>
          </w:p>
        </w:tc>
        <w:tc>
          <w:tcPr>
            <w:tcW w:type="dxa" w:w="831"/>
          </w:tcPr>
          <w:p>
            <w:r>
              <w:rPr/>
              <w:t>详见附表一</w:t>
            </w:r>
          </w:p>
        </w:tc>
      </w:tr>
      <w:tr>
        <w:tc>
          <w:tcPr>
            <w:tcW w:type="dxa" w:w="831"/>
          </w:tcPr>
          <w:p>
            <w:pPr>
              <w:jc w:val="center"/>
            </w:pPr>
            <w:r>
              <w:rPr/>
              <w:t>2</w:t>
            </w:r>
          </w:p>
        </w:tc>
        <w:tc>
          <w:tcPr>
            <w:tcW w:type="dxa" w:w="831"/>
          </w:tcPr>
          <w:p>
            <w:pPr>
              <w:jc w:val="center"/>
            </w:pPr>
          </w:p>
        </w:tc>
        <w:tc>
          <w:tcPr>
            <w:tcW w:type="dxa" w:w="831"/>
          </w:tcPr>
          <w:p>
            <w:pPr>
              <w:jc w:val="left"/>
            </w:pPr>
            <w:r>
              <w:rPr/>
              <w:t>其他服务</w:t>
            </w:r>
          </w:p>
        </w:tc>
        <w:tc>
          <w:tcPr>
            <w:tcW w:type="dxa" w:w="831"/>
          </w:tcPr>
          <w:p>
            <w:pPr>
              <w:jc w:val="left"/>
            </w:pPr>
            <w:r>
              <w:rPr/>
              <w:t>应急物资储备管理费（1年）</w:t>
            </w:r>
          </w:p>
        </w:tc>
        <w:tc>
          <w:tcPr>
            <w:tcW w:type="dxa" w:w="831"/>
          </w:tcPr>
          <w:p>
            <w:pPr>
              <w:jc w:val="left"/>
            </w:pPr>
            <w:r>
              <w:rPr/>
              <w:t>项</w:t>
            </w:r>
          </w:p>
        </w:tc>
        <w:tc>
          <w:tcPr>
            <w:tcW w:type="dxa" w:w="831"/>
          </w:tcPr>
          <w:p>
            <w:pPr>
              <w:jc w:val="right"/>
            </w:pPr>
            <w:r>
              <w:rPr/>
              <w:t>1.00</w:t>
            </w:r>
          </w:p>
        </w:tc>
        <w:tc>
          <w:tcPr>
            <w:tcW w:type="dxa" w:w="831"/>
          </w:tcPr>
          <w:p>
            <w:pPr>
              <w:jc w:val="right"/>
            </w:pPr>
            <w:r>
              <w:rPr/>
              <w:t>854,500.00</w:t>
            </w:r>
          </w:p>
        </w:tc>
        <w:tc>
          <w:tcPr>
            <w:tcW w:type="dxa" w:w="831"/>
          </w:tcPr>
          <w:p>
            <w:pPr>
              <w:jc w:val="right"/>
            </w:pPr>
            <w:r>
              <w:rPr/>
              <w:t>854,500.00</w:t>
            </w:r>
          </w:p>
        </w:tc>
        <w:tc>
          <w:tcPr>
            <w:tcW w:type="dxa" w:w="831"/>
          </w:tcPr>
          <w:p>
            <w:r>
              <w:rPr/>
              <w:t>仓储业</w:t>
            </w:r>
          </w:p>
        </w:tc>
        <w:tc>
          <w:tcPr>
            <w:tcW w:type="dxa" w:w="831"/>
          </w:tcPr>
          <w:p>
            <w:r>
              <w:rPr/>
              <w:t>详见附表二</w:t>
            </w:r>
          </w:p>
        </w:tc>
      </w:tr>
    </w:tbl>
    <w:p/>
    <w:p>
      <w:r>
        <w:rPr>
          <w:b/>
        </w:rPr>
        <w:t>附表</w:t>
      </w:r>
      <w:r>
        <w:rPr>
          <w:b/>
        </w:rPr>
        <w:t>一</w:t>
      </w:r>
      <w:r>
        <w:rPr>
          <w:b/>
        </w:rPr>
        <w:t>：</w:t>
      </w:r>
      <w:r>
        <w:rPr>
          <w:b/>
        </w:rPr>
        <w:t>应急储备物资</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tbl>
            <w:tblPr>
              <w:tblBorders>
                <w:top w:val="none" w:color="000000" w:sz="4"/>
                <w:left w:val="none" w:color="000000" w:sz="4"/>
                <w:bottom w:val="none" w:color="000000" w:sz="4"/>
                <w:right w:val="none" w:color="000000" w:sz="4"/>
                <w:insideH w:val="none"/>
                <w:insideV w:val="none"/>
              </w:tblBorders>
            </w:tblPr>
            <w:tblGrid>
              <w:gridCol w:w="376"/>
              <w:gridCol w:w="353"/>
              <w:gridCol w:w="570"/>
              <w:gridCol w:w="2667"/>
              <w:gridCol w:w="387"/>
              <w:gridCol w:w="832"/>
              <w:gridCol w:w="376"/>
            </w:tblGrid>
            <w:tr>
              <w:tc>
                <w:tcPr>
                  <w:tcW w:type="dxa" w:w="376"/>
                  <w:tcBorders>
                    <w:top w:val="single" w:color="000000" w:sz="4"/>
                    <w:left w:val="single" w:color="000000" w:sz="4"/>
                    <w:bottom w:val="single" w:color="000000" w:sz="4"/>
                    <w:right w:val="single" w:color="000000" w:sz="4"/>
                  </w:tcBorders>
                  <w:vAlign w:val="top"/>
                </w:tcPr>
                <w:p>
                  <w:pPr>
                    <w:jc w:val="center"/>
                  </w:pPr>
                  <w:r>
                    <w:rPr>
                      <w:b/>
                      <w:color w:val="000000"/>
                      <w:sz w:val="24"/>
                    </w:rPr>
                    <w:t>序号</w:t>
                  </w:r>
                </w:p>
              </w:tc>
              <w:tc>
                <w:tcPr>
                  <w:tcW w:type="dxa" w:w="353"/>
                  <w:tcBorders>
                    <w:top w:val="single" w:color="000000" w:sz="4"/>
                    <w:left w:val="none" w:color="000000" w:sz="4"/>
                    <w:bottom w:val="single" w:color="000000" w:sz="4"/>
                    <w:right w:val="single" w:color="000000" w:sz="4"/>
                  </w:tcBorders>
                  <w:vAlign w:val="top"/>
                </w:tcPr>
                <w:p>
                  <w:pPr>
                    <w:jc w:val="center"/>
                  </w:pPr>
                  <w:r>
                    <w:rPr>
                      <w:b/>
                      <w:color w:val="000000"/>
                      <w:sz w:val="24"/>
                    </w:rPr>
                    <w:t>物资</w:t>
                  </w:r>
                </w:p>
                <w:p>
                  <w:pPr>
                    <w:jc w:val="center"/>
                  </w:pPr>
                  <w:r>
                    <w:rPr>
                      <w:b/>
                      <w:color w:val="000000"/>
                      <w:sz w:val="24"/>
                    </w:rPr>
                    <w:t>种类</w:t>
                  </w:r>
                </w:p>
              </w:tc>
              <w:tc>
                <w:tcPr>
                  <w:tcW w:type="dxa" w:w="570"/>
                  <w:tcBorders>
                    <w:top w:val="single" w:color="000000" w:sz="4"/>
                    <w:left w:val="none" w:color="000000" w:sz="4"/>
                    <w:bottom w:val="single" w:color="000000" w:sz="4"/>
                    <w:right w:val="single" w:color="000000" w:sz="4"/>
                  </w:tcBorders>
                  <w:vAlign w:val="top"/>
                </w:tcPr>
                <w:p>
                  <w:pPr>
                    <w:jc w:val="center"/>
                  </w:pPr>
                  <w:r>
                    <w:rPr>
                      <w:b/>
                      <w:color w:val="000000"/>
                      <w:sz w:val="24"/>
                    </w:rPr>
                    <w:t>品名</w:t>
                  </w:r>
                </w:p>
              </w:tc>
              <w:tc>
                <w:tcPr>
                  <w:tcW w:type="dxa" w:w="2667"/>
                  <w:tcBorders>
                    <w:top w:val="single" w:color="000000" w:sz="4"/>
                    <w:left w:val="none" w:color="000000" w:sz="4"/>
                    <w:bottom w:val="single" w:color="000000" w:sz="4"/>
                    <w:right w:val="single" w:color="000000" w:sz="4"/>
                  </w:tcBorders>
                  <w:vAlign w:val="top"/>
                </w:tcPr>
                <w:p>
                  <w:pPr>
                    <w:jc w:val="center"/>
                  </w:pPr>
                  <w:r>
                    <w:rPr>
                      <w:b/>
                      <w:color w:val="000000"/>
                      <w:sz w:val="24"/>
                    </w:rPr>
                    <w:t>主要技术参数</w:t>
                  </w:r>
                </w:p>
              </w:tc>
              <w:tc>
                <w:tcPr>
                  <w:tcW w:type="dxa" w:w="387"/>
                  <w:tcBorders>
                    <w:top w:val="single" w:color="000000" w:sz="4"/>
                    <w:left w:val="none" w:color="000000" w:sz="4"/>
                    <w:bottom w:val="single" w:color="000000" w:sz="4"/>
                    <w:right w:val="single" w:color="000000" w:sz="4"/>
                  </w:tcBorders>
                  <w:vAlign w:val="top"/>
                </w:tcPr>
                <w:p>
                  <w:pPr>
                    <w:jc w:val="center"/>
                  </w:pPr>
                  <w:r>
                    <w:rPr>
                      <w:b/>
                      <w:color w:val="000000"/>
                      <w:sz w:val="24"/>
                    </w:rPr>
                    <w:t>单位</w:t>
                  </w:r>
                </w:p>
              </w:tc>
              <w:tc>
                <w:tcPr>
                  <w:tcW w:type="dxa" w:w="832"/>
                  <w:tcBorders>
                    <w:top w:val="single" w:color="000000" w:sz="4"/>
                    <w:left w:val="none" w:color="000000" w:sz="4"/>
                    <w:bottom w:val="single" w:color="000000" w:sz="4"/>
                    <w:right w:val="single" w:color="000000" w:sz="4"/>
                  </w:tcBorders>
                  <w:vAlign w:val="top"/>
                </w:tcPr>
                <w:p>
                  <w:pPr>
                    <w:jc w:val="center"/>
                  </w:pPr>
                  <w:r>
                    <w:rPr>
                      <w:b/>
                      <w:color w:val="000000"/>
                      <w:sz w:val="24"/>
                    </w:rPr>
                    <w:t>计划数量</w:t>
                  </w:r>
                </w:p>
              </w:tc>
              <w:tc>
                <w:tcPr>
                  <w:tcW w:type="dxa" w:w="376"/>
                  <w:tcBorders>
                    <w:top w:val="single" w:color="000000" w:sz="4"/>
                    <w:left w:val="none" w:color="000000" w:sz="4"/>
                    <w:bottom w:val="single" w:color="000000" w:sz="4"/>
                    <w:right w:val="single" w:color="000000" w:sz="4"/>
                  </w:tcBorders>
                  <w:vAlign w:val="top"/>
                </w:tcPr>
                <w:p>
                  <w:pPr>
                    <w:jc w:val="center"/>
                  </w:pPr>
                  <w:r>
                    <w:rPr>
                      <w:b/>
                      <w:color w:val="000000"/>
                      <w:sz w:val="24"/>
                    </w:rPr>
                    <w:t>备注</w:t>
                  </w: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1</w:t>
                  </w:r>
                </w:p>
              </w:tc>
              <w:tc>
                <w:tcPr>
                  <w:tcW w:type="dxa" w:w="353"/>
                  <w:vMerge w:val="restart"/>
                  <w:tcBorders>
                    <w:top w:val="none" w:color="000000" w:sz="4"/>
                    <w:left w:val="none" w:color="000000" w:sz="4"/>
                    <w:bottom w:val="single" w:color="000000" w:sz="4"/>
                    <w:right w:val="single" w:color="000000" w:sz="4"/>
                  </w:tcBorders>
                  <w:vAlign w:val="top"/>
                </w:tcPr>
                <w:p>
                  <w:pPr>
                    <w:jc w:val="center"/>
                  </w:pPr>
                  <w:r>
                    <w:rPr>
                      <w:sz w:val="24"/>
                    </w:rPr>
                    <w:t>防护物资</w:t>
                  </w:r>
                </w:p>
              </w:tc>
              <w:tc>
                <w:tcPr>
                  <w:tcW w:type="dxa" w:w="570"/>
                  <w:tcBorders>
                    <w:top w:val="none" w:color="000000" w:sz="4"/>
                    <w:left w:val="none" w:color="000000" w:sz="4"/>
                    <w:bottom w:val="single" w:color="000000" w:sz="4"/>
                    <w:right w:val="single" w:color="000000" w:sz="4"/>
                  </w:tcBorders>
                  <w:vAlign w:val="top"/>
                </w:tcPr>
                <w:p>
                  <w:pPr>
                    <w:jc w:val="center"/>
                  </w:pPr>
                  <w:r>
                    <w:rPr>
                      <w:sz w:val="24"/>
                    </w:rPr>
                    <w:t>防护服</w:t>
                  </w:r>
                </w:p>
              </w:tc>
              <w:tc>
                <w:tcPr>
                  <w:tcW w:type="dxa" w:w="2667"/>
                  <w:tcBorders>
                    <w:top w:val="none" w:color="000000" w:sz="4"/>
                    <w:left w:val="none" w:color="000000" w:sz="4"/>
                    <w:bottom w:val="single" w:color="000000" w:sz="4"/>
                    <w:right w:val="single" w:color="000000" w:sz="4"/>
                  </w:tcBorders>
                  <w:vAlign w:val="top"/>
                </w:tcPr>
                <w:p>
                  <w:pPr>
                    <w:jc w:val="both"/>
                  </w:pPr>
                  <w:r>
                    <w:rPr>
                      <w:sz w:val="24"/>
                    </w:rPr>
                    <w:t>采用无纺布为原料经缝制或粘合或热合加工而成。为医务人员在工作时接触具有潜在感染性的患者血液、体液、分泌物、空气中的颗粒物等提供阻隔、防护作用。</w:t>
                  </w:r>
                </w:p>
                <w:p>
                  <w:pPr>
                    <w:jc w:val="both"/>
                  </w:pPr>
                  <w:r>
                    <w:rPr>
                      <w:sz w:val="24"/>
                    </w:rPr>
                    <w:t>1.有国内第二类医疗器械注册证。</w:t>
                  </w:r>
                </w:p>
                <w:p>
                  <w:pPr>
                    <w:jc w:val="both"/>
                  </w:pPr>
                  <w:r>
                    <w:rPr>
                      <w:sz w:val="24"/>
                    </w:rPr>
                    <w:t>2.符合GB19082-2009标准，提供2022年1月以来CMA或CNAS认可的检测机构出具的第三方检测报告。</w:t>
                  </w:r>
                </w:p>
                <w:p>
                  <w:pPr>
                    <w:jc w:val="both"/>
                  </w:pPr>
                  <w:r>
                    <w:rPr>
                      <w:sz w:val="24"/>
                    </w:rPr>
                    <w:t>3.抗合成血液穿透性不低于4级（压强值7kPa）。</w:t>
                  </w:r>
                </w:p>
                <w:p>
                  <w:pPr>
                    <w:jc w:val="both"/>
                  </w:pPr>
                  <w:r>
                    <w:rPr>
                      <w:sz w:val="24"/>
                    </w:rPr>
                    <w:t>4.关键部位材料的断裂强力应不小于55N，断裂伸长率不小于50%；对非油性颗粒的过滤效率不小于95%。</w:t>
                  </w:r>
                </w:p>
                <w:p>
                  <w:pPr>
                    <w:jc w:val="both"/>
                  </w:pPr>
                  <w:r>
                    <w:rPr>
                      <w:sz w:val="24"/>
                    </w:rPr>
                    <w:t>5.带电量应不大于0.4uC。</w:t>
                  </w:r>
                </w:p>
                <w:p>
                  <w:pPr>
                    <w:jc w:val="both"/>
                  </w:pPr>
                  <w:r>
                    <w:rPr>
                      <w:sz w:val="24"/>
                    </w:rPr>
                    <w:t>6.透湿量不小于2500g/(㎡·d)。</w:t>
                  </w:r>
                </w:p>
                <w:p>
                  <w:pPr>
                    <w:jc w:val="both"/>
                  </w:pPr>
                  <w:r>
                    <w:rPr>
                      <w:sz w:val="24"/>
                    </w:rPr>
                    <w:t>7.包装上有灭菌标志，经环氧乙烷灭菌。</w:t>
                  </w:r>
                </w:p>
                <w:p>
                  <w:pPr>
                    <w:jc w:val="both"/>
                  </w:pPr>
                  <w:r>
                    <w:rPr>
                      <w:sz w:val="24"/>
                    </w:rPr>
                    <w:t>8.提供多个尺码160、165、170、175、180、185，190。</w:t>
                  </w:r>
                </w:p>
                <w:p>
                  <w:pPr>
                    <w:jc w:val="both"/>
                  </w:pPr>
                  <w:r>
                    <w:rPr>
                      <w:sz w:val="24"/>
                    </w:rPr>
                    <w:t>9.产品有效期≥2年。</w:t>
                  </w:r>
                </w:p>
                <w:p>
                  <w:pPr>
                    <w:jc w:val="both"/>
                  </w:pPr>
                  <w:r>
                    <w:rPr>
                      <w:sz w:val="24"/>
                    </w:rPr>
                    <w:t>10.单位面积质量≥65g/m</w:t>
                  </w:r>
                  <w:r>
                    <w:rPr>
                      <w:sz w:val="24"/>
                    </w:rPr>
                    <w:t>²</w:t>
                  </w:r>
                  <w:r>
                    <w:rPr>
                      <w:sz w:val="24"/>
                    </w:rPr>
                    <w:t>。</w:t>
                  </w:r>
                </w:p>
                <w:p>
                  <w:pPr>
                    <w:jc w:val="both"/>
                  </w:pPr>
                  <w:r>
                    <w:rPr>
                      <w:sz w:val="24"/>
                    </w:rPr>
                    <w:t>11.含头套、连身式，连脚套。</w:t>
                  </w:r>
                </w:p>
              </w:tc>
              <w:tc>
                <w:tcPr>
                  <w:tcW w:type="dxa" w:w="387"/>
                  <w:tcBorders>
                    <w:top w:val="none" w:color="000000" w:sz="4"/>
                    <w:left w:val="none" w:color="000000" w:sz="4"/>
                    <w:bottom w:val="single" w:color="000000" w:sz="4"/>
                    <w:right w:val="single" w:color="000000" w:sz="4"/>
                  </w:tcBorders>
                  <w:vAlign w:val="top"/>
                </w:tcPr>
                <w:p>
                  <w:pPr>
                    <w:jc w:val="center"/>
                  </w:pPr>
                  <w:r>
                    <w:rPr>
                      <w:sz w:val="24"/>
                    </w:rPr>
                    <w:t>套</w:t>
                  </w:r>
                </w:p>
              </w:tc>
              <w:tc>
                <w:tcPr>
                  <w:tcW w:type="dxa" w:w="832"/>
                  <w:tcBorders>
                    <w:top w:val="none" w:color="000000" w:sz="4"/>
                    <w:left w:val="none" w:color="000000" w:sz="4"/>
                    <w:bottom w:val="single" w:color="000000" w:sz="4"/>
                    <w:right w:val="single" w:color="000000" w:sz="4"/>
                  </w:tcBorders>
                  <w:vAlign w:val="top"/>
                </w:tcPr>
                <w:p>
                  <w:pPr>
                    <w:jc w:val="center"/>
                  </w:pPr>
                  <w:r>
                    <w:rPr>
                      <w:sz w:val="24"/>
                    </w:rPr>
                    <w:t>78000</w:t>
                  </w:r>
                </w:p>
              </w:tc>
              <w:tc>
                <w:tcPr>
                  <w:tcW w:type="dxa" w:w="376"/>
                  <w:tcBorders>
                    <w:top w:val="none" w:color="000000" w:sz="4"/>
                    <w:left w:val="none" w:color="000000" w:sz="4"/>
                    <w:bottom w:val="single" w:color="000000" w:sz="4"/>
                    <w:right w:val="single" w:color="000000" w:sz="4"/>
                  </w:tcBorders>
                  <w:vAlign w:val="top"/>
                </w:tcPr>
                <w:p>
                  <w:pPr>
                    <w:jc w:val="center"/>
                  </w:pP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2</w:t>
                  </w:r>
                </w:p>
              </w:tc>
              <w:tc>
                <w:tcPr>
                  <w:tcW w:type="dxa" w:w="353"/>
                  <w:vMerge/>
                  <w:tcBorders>
                    <w:top w:val="none" w:color="000000" w:sz="4"/>
                    <w:left w:val="none" w:color="000000" w:sz="4"/>
                    <w:bottom w:val="single" w:color="000000" w:sz="4"/>
                    <w:right w:val="single" w:color="000000" w:sz="4"/>
                  </w:tcBorders>
                </w:tcPr>
                <w:p/>
              </w:tc>
              <w:tc>
                <w:tcPr>
                  <w:tcW w:type="dxa" w:w="570"/>
                  <w:tcBorders>
                    <w:top w:val="none" w:color="000000" w:sz="4"/>
                    <w:left w:val="none" w:color="000000" w:sz="4"/>
                    <w:bottom w:val="single" w:color="000000" w:sz="4"/>
                    <w:right w:val="single" w:color="000000" w:sz="4"/>
                  </w:tcBorders>
                  <w:vAlign w:val="top"/>
                </w:tcPr>
                <w:p>
                  <w:pPr>
                    <w:jc w:val="center"/>
                  </w:pPr>
                  <w:r>
                    <w:rPr>
                      <w:sz w:val="24"/>
                    </w:rPr>
                    <w:t>隔离衣</w:t>
                  </w:r>
                </w:p>
              </w:tc>
              <w:tc>
                <w:tcPr>
                  <w:tcW w:type="dxa" w:w="2667"/>
                  <w:tcBorders>
                    <w:top w:val="none" w:color="000000" w:sz="4"/>
                    <w:left w:val="none" w:color="000000" w:sz="4"/>
                    <w:bottom w:val="single" w:color="000000" w:sz="4"/>
                    <w:right w:val="single" w:color="000000" w:sz="4"/>
                  </w:tcBorders>
                  <w:vAlign w:val="top"/>
                </w:tcPr>
                <w:p>
                  <w:pPr>
                    <w:jc w:val="both"/>
                  </w:pPr>
                  <w:r>
                    <w:rPr>
                      <w:sz w:val="24"/>
                    </w:rPr>
                    <w:t>1.有国内第一类医疗器械备案证。</w:t>
                  </w:r>
                </w:p>
                <w:p>
                  <w:pPr>
                    <w:jc w:val="both"/>
                  </w:pPr>
                  <w:r>
                    <w:rPr>
                      <w:sz w:val="24"/>
                    </w:rPr>
                    <w:t>2.符合《GB/T 38462-2020纺织品隔离衣用非织造布》技术要求，提供2022年1月以来CMA或CNAS认可的检测机构出具的第三方检测报告。</w:t>
                  </w:r>
                </w:p>
                <w:p>
                  <w:pPr>
                    <w:jc w:val="both"/>
                  </w:pPr>
                  <w:r>
                    <w:rPr>
                      <w:sz w:val="24"/>
                    </w:rPr>
                    <w:t>3.由SMS非织造布为主要材料。</w:t>
                  </w:r>
                </w:p>
                <w:p>
                  <w:pPr>
                    <w:jc w:val="both"/>
                  </w:pPr>
                  <w:r>
                    <w:rPr>
                      <w:sz w:val="24"/>
                    </w:rPr>
                    <w:t>4.静水压≥4kpa。</w:t>
                  </w:r>
                </w:p>
                <w:p>
                  <w:pPr>
                    <w:jc w:val="both"/>
                  </w:pPr>
                  <w:r>
                    <w:rPr>
                      <w:sz w:val="24"/>
                    </w:rPr>
                    <w:t>5.胀破强度≥80kpa。</w:t>
                  </w:r>
                </w:p>
                <w:p>
                  <w:pPr>
                    <w:jc w:val="both"/>
                  </w:pPr>
                  <w:r>
                    <w:rPr>
                      <w:sz w:val="24"/>
                    </w:rPr>
                    <w:t>6.断裂强力≥45N。</w:t>
                  </w:r>
                </w:p>
                <w:p>
                  <w:pPr>
                    <w:jc w:val="both"/>
                  </w:pPr>
                  <w:r>
                    <w:rPr>
                      <w:sz w:val="24"/>
                    </w:rPr>
                    <w:t>7.透湿率≥5000g/m2•d。</w:t>
                  </w:r>
                </w:p>
                <w:p>
                  <w:pPr>
                    <w:jc w:val="both"/>
                  </w:pPr>
                  <w:r>
                    <w:rPr>
                      <w:sz w:val="24"/>
                    </w:rPr>
                    <w:t>8.渗水量≤0.1。</w:t>
                  </w:r>
                </w:p>
                <w:p>
                  <w:pPr>
                    <w:jc w:val="both"/>
                  </w:pPr>
                  <w:r>
                    <w:rPr>
                      <w:sz w:val="24"/>
                    </w:rPr>
                    <w:t>9.产品有效期≥2年。</w:t>
                  </w:r>
                </w:p>
              </w:tc>
              <w:tc>
                <w:tcPr>
                  <w:tcW w:type="dxa" w:w="387"/>
                  <w:tcBorders>
                    <w:top w:val="none" w:color="000000" w:sz="4"/>
                    <w:left w:val="none" w:color="000000" w:sz="4"/>
                    <w:bottom w:val="single" w:color="000000" w:sz="4"/>
                    <w:right w:val="single" w:color="000000" w:sz="4"/>
                  </w:tcBorders>
                  <w:vAlign w:val="top"/>
                </w:tcPr>
                <w:p>
                  <w:pPr>
                    <w:jc w:val="center"/>
                  </w:pPr>
                  <w:r>
                    <w:rPr>
                      <w:sz w:val="24"/>
                    </w:rPr>
                    <w:t>套</w:t>
                  </w:r>
                </w:p>
              </w:tc>
              <w:tc>
                <w:tcPr>
                  <w:tcW w:type="dxa" w:w="832"/>
                  <w:tcBorders>
                    <w:top w:val="none" w:color="000000" w:sz="4"/>
                    <w:left w:val="none" w:color="000000" w:sz="4"/>
                    <w:bottom w:val="single" w:color="000000" w:sz="4"/>
                    <w:right w:val="single" w:color="000000" w:sz="4"/>
                  </w:tcBorders>
                  <w:vAlign w:val="top"/>
                </w:tcPr>
                <w:p>
                  <w:pPr>
                    <w:jc w:val="center"/>
                  </w:pPr>
                  <w:r>
                    <w:rPr>
                      <w:sz w:val="24"/>
                    </w:rPr>
                    <w:t>34100</w:t>
                  </w:r>
                </w:p>
              </w:tc>
              <w:tc>
                <w:tcPr>
                  <w:tcW w:type="dxa" w:w="376"/>
                  <w:tcBorders>
                    <w:top w:val="none" w:color="000000" w:sz="4"/>
                    <w:left w:val="none" w:color="000000" w:sz="4"/>
                    <w:bottom w:val="single" w:color="000000" w:sz="4"/>
                    <w:right w:val="single" w:color="000000" w:sz="4"/>
                  </w:tcBorders>
                  <w:vAlign w:val="top"/>
                </w:tcPr>
                <w:p>
                  <w:pPr>
                    <w:jc w:val="center"/>
                  </w:pP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3</w:t>
                  </w:r>
                </w:p>
              </w:tc>
              <w:tc>
                <w:tcPr>
                  <w:tcW w:type="dxa" w:w="353"/>
                  <w:vMerge/>
                  <w:tcBorders>
                    <w:top w:val="none" w:color="000000" w:sz="4"/>
                    <w:left w:val="none" w:color="000000" w:sz="4"/>
                    <w:bottom w:val="single" w:color="000000" w:sz="4"/>
                    <w:right w:val="single" w:color="000000" w:sz="4"/>
                  </w:tcBorders>
                </w:tcPr>
                <w:p/>
              </w:tc>
              <w:tc>
                <w:tcPr>
                  <w:tcW w:type="dxa" w:w="570"/>
                  <w:tcBorders>
                    <w:top w:val="none" w:color="000000" w:sz="4"/>
                    <w:left w:val="none" w:color="000000" w:sz="4"/>
                    <w:bottom w:val="single" w:color="000000" w:sz="4"/>
                    <w:right w:val="single" w:color="000000" w:sz="4"/>
                  </w:tcBorders>
                  <w:vAlign w:val="top"/>
                </w:tcPr>
                <w:p>
                  <w:pPr>
                    <w:jc w:val="center"/>
                  </w:pPr>
                  <w:r>
                    <w:rPr>
                      <w:sz w:val="24"/>
                    </w:rPr>
                    <w:t>一次性手术帽（医用帽）</w:t>
                  </w:r>
                </w:p>
              </w:tc>
              <w:tc>
                <w:tcPr>
                  <w:tcW w:type="dxa" w:w="2667"/>
                  <w:tcBorders>
                    <w:top w:val="none" w:color="000000" w:sz="4"/>
                    <w:left w:val="none" w:color="000000" w:sz="4"/>
                    <w:bottom w:val="single" w:color="000000" w:sz="4"/>
                    <w:right w:val="single" w:color="000000" w:sz="4"/>
                  </w:tcBorders>
                  <w:vAlign w:val="top"/>
                </w:tcPr>
                <w:p>
                  <w:pPr>
                    <w:jc w:val="both"/>
                  </w:pPr>
                  <w:r>
                    <w:rPr>
                      <w:sz w:val="24"/>
                    </w:rPr>
                    <w:t>1.有国内第一类医疗器械备案证。</w:t>
                  </w:r>
                </w:p>
                <w:p>
                  <w:pPr>
                    <w:jc w:val="both"/>
                  </w:pPr>
                  <w:r>
                    <w:rPr>
                      <w:sz w:val="24"/>
                    </w:rPr>
                    <w:t>2.符合YY/T1642-2019标准；</w:t>
                  </w:r>
                  <w:r>
                    <w:rPr>
                      <w:sz w:val="24"/>
                    </w:rPr>
                    <w:t>提供</w:t>
                  </w:r>
                  <w:r>
                    <w:rPr>
                      <w:sz w:val="24"/>
                    </w:rPr>
                    <w:t>2022年1月以来</w:t>
                  </w:r>
                  <w:r>
                    <w:rPr>
                      <w:sz w:val="24"/>
                    </w:rPr>
                    <w:t>CMA或CNAS认证的机构出具的第三方检测报告。</w:t>
                  </w:r>
                </w:p>
                <w:p>
                  <w:pPr>
                    <w:jc w:val="both"/>
                  </w:pPr>
                  <w:r>
                    <w:rPr>
                      <w:sz w:val="24"/>
                    </w:rPr>
                    <w:t>3.供临床医务人员在有创操作过程中佩戴，为接受处理的患者及实施有创操作的医务人员提供防护，阻止血液、体液和飞溅物传播。</w:t>
                  </w:r>
                </w:p>
                <w:p>
                  <w:pPr>
                    <w:jc w:val="both"/>
                  </w:pPr>
                  <w:r>
                    <w:rPr>
                      <w:sz w:val="24"/>
                    </w:rPr>
                    <w:t>4.外观应干燥、清洁、无尘、无霉斑、破洞、裂孔等缺陷。</w:t>
                  </w:r>
                </w:p>
                <w:p>
                  <w:pPr>
                    <w:jc w:val="both"/>
                  </w:pPr>
                  <w:r>
                    <w:rPr>
                      <w:sz w:val="24"/>
                    </w:rPr>
                    <w:t>5.产品有效期≥2年。</w:t>
                  </w:r>
                </w:p>
              </w:tc>
              <w:tc>
                <w:tcPr>
                  <w:tcW w:type="dxa" w:w="387"/>
                  <w:tcBorders>
                    <w:top w:val="none" w:color="000000" w:sz="4"/>
                    <w:left w:val="none" w:color="000000" w:sz="4"/>
                    <w:bottom w:val="single" w:color="000000" w:sz="4"/>
                    <w:right w:val="single" w:color="000000" w:sz="4"/>
                  </w:tcBorders>
                  <w:vAlign w:val="top"/>
                </w:tcPr>
                <w:p>
                  <w:pPr>
                    <w:jc w:val="center"/>
                  </w:pPr>
                  <w:r>
                    <w:rPr>
                      <w:sz w:val="24"/>
                    </w:rPr>
                    <w:t>个</w:t>
                  </w:r>
                </w:p>
              </w:tc>
              <w:tc>
                <w:tcPr>
                  <w:tcW w:type="dxa" w:w="832"/>
                  <w:tcBorders>
                    <w:top w:val="none" w:color="000000" w:sz="4"/>
                    <w:left w:val="none" w:color="000000" w:sz="4"/>
                    <w:bottom w:val="single" w:color="000000" w:sz="4"/>
                    <w:right w:val="single" w:color="000000" w:sz="4"/>
                  </w:tcBorders>
                  <w:vAlign w:val="top"/>
                </w:tcPr>
                <w:p>
                  <w:pPr>
                    <w:jc w:val="center"/>
                  </w:pPr>
                  <w:r>
                    <w:rPr>
                      <w:sz w:val="24"/>
                    </w:rPr>
                    <w:t>168000</w:t>
                  </w:r>
                </w:p>
              </w:tc>
              <w:tc>
                <w:tcPr>
                  <w:tcW w:type="dxa" w:w="376"/>
                  <w:tcBorders>
                    <w:top w:val="none" w:color="000000" w:sz="4"/>
                    <w:left w:val="none" w:color="000000" w:sz="4"/>
                    <w:bottom w:val="single" w:color="000000" w:sz="4"/>
                    <w:right w:val="single" w:color="000000" w:sz="4"/>
                  </w:tcBorders>
                  <w:vAlign w:val="top"/>
                </w:tcPr>
                <w:p>
                  <w:pPr>
                    <w:jc w:val="center"/>
                  </w:pP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4</w:t>
                  </w:r>
                </w:p>
              </w:tc>
              <w:tc>
                <w:tcPr>
                  <w:tcW w:type="dxa" w:w="353"/>
                  <w:vMerge/>
                  <w:tcBorders>
                    <w:top w:val="none" w:color="000000" w:sz="4"/>
                    <w:left w:val="none" w:color="000000" w:sz="4"/>
                    <w:bottom w:val="single" w:color="000000" w:sz="4"/>
                    <w:right w:val="single" w:color="000000" w:sz="4"/>
                  </w:tcBorders>
                </w:tcPr>
                <w:p/>
              </w:tc>
              <w:tc>
                <w:tcPr>
                  <w:tcW w:type="dxa" w:w="570"/>
                  <w:tcBorders>
                    <w:top w:val="none" w:color="000000" w:sz="4"/>
                    <w:left w:val="none" w:color="000000" w:sz="4"/>
                    <w:bottom w:val="single" w:color="000000" w:sz="4"/>
                    <w:right w:val="single" w:color="000000" w:sz="4"/>
                  </w:tcBorders>
                  <w:vAlign w:val="top"/>
                </w:tcPr>
                <w:p>
                  <w:pPr>
                    <w:jc w:val="center"/>
                  </w:pPr>
                  <w:r>
                    <w:rPr>
                      <w:sz w:val="24"/>
                    </w:rPr>
                    <w:t>一次性橡胶手套</w:t>
                  </w:r>
                </w:p>
              </w:tc>
              <w:tc>
                <w:tcPr>
                  <w:tcW w:type="dxa" w:w="2667"/>
                  <w:tcBorders>
                    <w:top w:val="none" w:color="000000" w:sz="4"/>
                    <w:left w:val="none" w:color="000000" w:sz="4"/>
                    <w:bottom w:val="single" w:color="000000" w:sz="4"/>
                    <w:right w:val="single" w:color="000000" w:sz="4"/>
                  </w:tcBorders>
                  <w:vAlign w:val="top"/>
                </w:tcPr>
                <w:p>
                  <w:pPr>
                    <w:jc w:val="both"/>
                  </w:pPr>
                  <w:r>
                    <w:rPr>
                      <w:sz w:val="24"/>
                    </w:rPr>
                    <w:t>1.有国内第一类医疗器械备案证。</w:t>
                  </w:r>
                </w:p>
                <w:p>
                  <w:pPr>
                    <w:jc w:val="both"/>
                  </w:pPr>
                  <w:r>
                    <w:rPr>
                      <w:sz w:val="24"/>
                    </w:rPr>
                    <w:t>2.GB 10213《一次性医用手套》标准；</w:t>
                  </w:r>
                  <w:r>
                    <w:rPr>
                      <w:sz w:val="24"/>
                    </w:rPr>
                    <w:t>提供</w:t>
                  </w:r>
                  <w:r>
                    <w:rPr>
                      <w:sz w:val="24"/>
                    </w:rPr>
                    <w:t>2022年1月以来</w:t>
                  </w:r>
                  <w:r>
                    <w:rPr>
                      <w:sz w:val="24"/>
                    </w:rPr>
                    <w:t>CMA或CNAS认证的机构出具的第三方检测报告。</w:t>
                  </w:r>
                </w:p>
                <w:p>
                  <w:pPr>
                    <w:jc w:val="both"/>
                  </w:pPr>
                  <w:r>
                    <w:rPr>
                      <w:sz w:val="24"/>
                    </w:rPr>
                    <w:t>3.由天然橡胶胶乳或合成橡胶胶乳构成制成，有指部、掌部、腕部构成。</w:t>
                  </w:r>
                </w:p>
                <w:p>
                  <w:pPr>
                    <w:jc w:val="both"/>
                  </w:pPr>
                  <w:r>
                    <w:rPr>
                      <w:sz w:val="24"/>
                    </w:rPr>
                    <w:t>4.无粉、非灭菌、一次性使用。</w:t>
                  </w:r>
                </w:p>
                <w:p>
                  <w:pPr>
                    <w:jc w:val="both"/>
                  </w:pPr>
                  <w:r>
                    <w:rPr>
                      <w:sz w:val="24"/>
                    </w:rPr>
                    <w:t>5.提供多种尺寸。</w:t>
                  </w:r>
                </w:p>
                <w:p>
                  <w:pPr>
                    <w:jc w:val="both"/>
                  </w:pPr>
                  <w:r>
                    <w:rPr>
                      <w:sz w:val="24"/>
                    </w:rPr>
                    <w:t>6.老化前：扯断力（中值）≥7N。</w:t>
                  </w:r>
                </w:p>
                <w:p>
                  <w:pPr>
                    <w:jc w:val="both"/>
                  </w:pPr>
                  <w:r>
                    <w:rPr>
                      <w:sz w:val="24"/>
                    </w:rPr>
                    <w:t>7.老化后：扯断力（中值）≥7N。</w:t>
                  </w:r>
                </w:p>
                <w:p>
                  <w:pPr>
                    <w:jc w:val="both"/>
                  </w:pPr>
                  <w:r>
                    <w:rPr>
                      <w:sz w:val="24"/>
                    </w:rPr>
                    <w:t>8.氯洗处理，穿戴更爽滑。</w:t>
                  </w:r>
                </w:p>
                <w:p>
                  <w:pPr>
                    <w:jc w:val="both"/>
                  </w:pPr>
                  <w:r>
                    <w:rPr>
                      <w:sz w:val="24"/>
                    </w:rPr>
                    <w:t>9.指间麻面，提供更好的抓握力。</w:t>
                  </w:r>
                </w:p>
                <w:p>
                  <w:pPr>
                    <w:jc w:val="both"/>
                  </w:pPr>
                  <w:r>
                    <w:rPr>
                      <w:sz w:val="24"/>
                    </w:rPr>
                    <w:t>10.产品有效期≥2年。</w:t>
                  </w:r>
                </w:p>
              </w:tc>
              <w:tc>
                <w:tcPr>
                  <w:tcW w:type="dxa" w:w="387"/>
                  <w:tcBorders>
                    <w:top w:val="none" w:color="000000" w:sz="4"/>
                    <w:left w:val="none" w:color="000000" w:sz="4"/>
                    <w:bottom w:val="single" w:color="000000" w:sz="4"/>
                    <w:right w:val="single" w:color="000000" w:sz="4"/>
                  </w:tcBorders>
                  <w:vAlign w:val="top"/>
                </w:tcPr>
                <w:p>
                  <w:pPr>
                    <w:jc w:val="center"/>
                  </w:pPr>
                  <w:r>
                    <w:rPr>
                      <w:sz w:val="24"/>
                    </w:rPr>
                    <w:t>双</w:t>
                  </w:r>
                </w:p>
              </w:tc>
              <w:tc>
                <w:tcPr>
                  <w:tcW w:type="dxa" w:w="832"/>
                  <w:tcBorders>
                    <w:top w:val="none" w:color="000000" w:sz="4"/>
                    <w:left w:val="none" w:color="000000" w:sz="4"/>
                    <w:bottom w:val="single" w:color="000000" w:sz="4"/>
                    <w:right w:val="single" w:color="000000" w:sz="4"/>
                  </w:tcBorders>
                  <w:vAlign w:val="top"/>
                </w:tcPr>
                <w:p>
                  <w:pPr>
                    <w:jc w:val="center"/>
                  </w:pPr>
                  <w:r>
                    <w:rPr>
                      <w:sz w:val="24"/>
                    </w:rPr>
                    <w:t>168000</w:t>
                  </w:r>
                </w:p>
              </w:tc>
              <w:tc>
                <w:tcPr>
                  <w:tcW w:type="dxa" w:w="376"/>
                  <w:tcBorders>
                    <w:top w:val="none" w:color="000000" w:sz="4"/>
                    <w:left w:val="none" w:color="000000" w:sz="4"/>
                    <w:bottom w:val="single" w:color="000000" w:sz="4"/>
                    <w:right w:val="single" w:color="000000" w:sz="4"/>
                  </w:tcBorders>
                  <w:vAlign w:val="top"/>
                </w:tcPr>
                <w:p>
                  <w:pPr>
                    <w:jc w:val="center"/>
                  </w:pP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5</w:t>
                  </w:r>
                </w:p>
              </w:tc>
              <w:tc>
                <w:tcPr>
                  <w:tcW w:type="dxa" w:w="353"/>
                  <w:vMerge/>
                  <w:tcBorders>
                    <w:top w:val="none" w:color="000000" w:sz="4"/>
                    <w:left w:val="none" w:color="000000" w:sz="4"/>
                    <w:bottom w:val="single" w:color="000000" w:sz="4"/>
                    <w:right w:val="single" w:color="000000" w:sz="4"/>
                  </w:tcBorders>
                </w:tcPr>
                <w:p/>
              </w:tc>
              <w:tc>
                <w:tcPr>
                  <w:tcW w:type="dxa" w:w="570"/>
                  <w:tcBorders>
                    <w:top w:val="none" w:color="000000" w:sz="4"/>
                    <w:left w:val="none" w:color="000000" w:sz="4"/>
                    <w:bottom w:val="single" w:color="000000" w:sz="4"/>
                    <w:right w:val="single" w:color="000000" w:sz="4"/>
                  </w:tcBorders>
                  <w:vAlign w:val="top"/>
                </w:tcPr>
                <w:p>
                  <w:pPr>
                    <w:jc w:val="center"/>
                  </w:pPr>
                  <w:r>
                    <w:rPr>
                      <w:sz w:val="24"/>
                    </w:rPr>
                    <w:t>一次性鞋套</w:t>
                  </w:r>
                </w:p>
              </w:tc>
              <w:tc>
                <w:tcPr>
                  <w:tcW w:type="dxa" w:w="2667"/>
                  <w:tcBorders>
                    <w:top w:val="none" w:color="000000" w:sz="4"/>
                    <w:left w:val="none" w:color="000000" w:sz="4"/>
                    <w:bottom w:val="single" w:color="000000" w:sz="4"/>
                    <w:right w:val="single" w:color="000000" w:sz="4"/>
                  </w:tcBorders>
                  <w:vAlign w:val="top"/>
                </w:tcPr>
                <w:p>
                  <w:pPr>
                    <w:jc w:val="both"/>
                  </w:pPr>
                  <w:r>
                    <w:rPr>
                      <w:sz w:val="24"/>
                    </w:rPr>
                    <w:t>用于医疗机构门诊、病房、检验室等作普通隔离。</w:t>
                  </w:r>
                </w:p>
                <w:p>
                  <w:pPr>
                    <w:jc w:val="both"/>
                  </w:pPr>
                  <w:r>
                    <w:rPr>
                      <w:sz w:val="24"/>
                    </w:rPr>
                    <w:t>1.有国内第一类医疗器械备案证。</w:t>
                  </w:r>
                </w:p>
                <w:p>
                  <w:pPr>
                    <w:jc w:val="both"/>
                  </w:pPr>
                  <w:r>
                    <w:rPr>
                      <w:sz w:val="24"/>
                    </w:rPr>
                    <w:t>2.符合YY</w:t>
                  </w:r>
                  <w:r>
                    <w:rPr>
                      <w:sz w:val="24"/>
                    </w:rPr>
                    <w:t>/</w:t>
                  </w:r>
                  <w:r>
                    <w:rPr>
                      <w:sz w:val="24"/>
                    </w:rPr>
                    <w:t>T 1633-2019标准；</w:t>
                  </w:r>
                  <w:r>
                    <w:rPr>
                      <w:sz w:val="24"/>
                    </w:rPr>
                    <w:t>提供</w:t>
                  </w:r>
                  <w:r>
                    <w:rPr>
                      <w:sz w:val="24"/>
                    </w:rPr>
                    <w:t>2022年1月以来</w:t>
                  </w:r>
                  <w:r>
                    <w:rPr>
                      <w:sz w:val="24"/>
                    </w:rPr>
                    <w:t>CMA或CNAS认证的机构出具的第三方检测报告。</w:t>
                  </w:r>
                </w:p>
                <w:p>
                  <w:pPr>
                    <w:jc w:val="both"/>
                  </w:pPr>
                  <w:r>
                    <w:rPr>
                      <w:sz w:val="24"/>
                    </w:rPr>
                    <w:t>3.材质：采用适宜材料制成，有足够的强度和阻隔性能。</w:t>
                  </w:r>
                </w:p>
                <w:p>
                  <w:pPr>
                    <w:jc w:val="both"/>
                  </w:pPr>
                  <w:r>
                    <w:rPr>
                      <w:sz w:val="24"/>
                    </w:rPr>
                    <w:t>4.绗缝应整齐，无脱线、脱拷现象。</w:t>
                  </w:r>
                </w:p>
                <w:p>
                  <w:pPr>
                    <w:jc w:val="both"/>
                  </w:pPr>
                  <w:r>
                    <w:rPr>
                      <w:sz w:val="24"/>
                    </w:rPr>
                    <w:t>5.断裂强度≥45N。</w:t>
                  </w:r>
                </w:p>
                <w:p>
                  <w:pPr>
                    <w:jc w:val="both"/>
                  </w:pPr>
                  <w:r>
                    <w:rPr>
                      <w:sz w:val="24"/>
                    </w:rPr>
                    <w:t>6.表面抗湿性≥3级。</w:t>
                  </w:r>
                </w:p>
                <w:p>
                  <w:pPr>
                    <w:jc w:val="both"/>
                  </w:pPr>
                  <w:r>
                    <w:rPr>
                      <w:sz w:val="24"/>
                    </w:rPr>
                    <w:t>7.抗渗水性≥1.67Kpa。</w:t>
                  </w:r>
                </w:p>
                <w:p>
                  <w:pPr>
                    <w:jc w:val="both"/>
                  </w:pPr>
                  <w:r>
                    <w:rPr>
                      <w:sz w:val="24"/>
                    </w:rPr>
                    <w:t>8.抗合成血液渗透性≥4级。</w:t>
                  </w:r>
                </w:p>
                <w:p>
                  <w:pPr>
                    <w:jc w:val="both"/>
                  </w:pPr>
                  <w:r>
                    <w:rPr>
                      <w:sz w:val="24"/>
                    </w:rPr>
                    <w:t>9.外观应干燥、清洁、无尘、无霉斑、破洞、裂孔等缺陷。</w:t>
                  </w:r>
                </w:p>
                <w:p>
                  <w:pPr>
                    <w:jc w:val="both"/>
                  </w:pPr>
                  <w:r>
                    <w:rPr>
                      <w:sz w:val="24"/>
                    </w:rPr>
                    <w:t>10.产品有效期≥2年。</w:t>
                  </w:r>
                </w:p>
              </w:tc>
              <w:tc>
                <w:tcPr>
                  <w:tcW w:type="dxa" w:w="387"/>
                  <w:tcBorders>
                    <w:top w:val="none" w:color="000000" w:sz="4"/>
                    <w:left w:val="none" w:color="000000" w:sz="4"/>
                    <w:bottom w:val="single" w:color="000000" w:sz="4"/>
                    <w:right w:val="single" w:color="000000" w:sz="4"/>
                  </w:tcBorders>
                  <w:vAlign w:val="top"/>
                </w:tcPr>
                <w:p>
                  <w:pPr>
                    <w:jc w:val="center"/>
                  </w:pPr>
                  <w:r>
                    <w:rPr>
                      <w:sz w:val="24"/>
                    </w:rPr>
                    <w:t>双</w:t>
                  </w:r>
                </w:p>
              </w:tc>
              <w:tc>
                <w:tcPr>
                  <w:tcW w:type="dxa" w:w="832"/>
                  <w:tcBorders>
                    <w:top w:val="none" w:color="000000" w:sz="4"/>
                    <w:left w:val="none" w:color="000000" w:sz="4"/>
                    <w:bottom w:val="single" w:color="000000" w:sz="4"/>
                    <w:right w:val="single" w:color="000000" w:sz="4"/>
                  </w:tcBorders>
                  <w:vAlign w:val="top"/>
                </w:tcPr>
                <w:p>
                  <w:pPr>
                    <w:jc w:val="center"/>
                  </w:pPr>
                  <w:r>
                    <w:rPr>
                      <w:sz w:val="24"/>
                    </w:rPr>
                    <w:t>168000</w:t>
                  </w:r>
                </w:p>
              </w:tc>
              <w:tc>
                <w:tcPr>
                  <w:tcW w:type="dxa" w:w="376"/>
                  <w:tcBorders>
                    <w:top w:val="none" w:color="000000" w:sz="4"/>
                    <w:left w:val="none" w:color="000000" w:sz="4"/>
                    <w:bottom w:val="single" w:color="000000" w:sz="4"/>
                    <w:right w:val="single" w:color="000000" w:sz="4"/>
                  </w:tcBorders>
                  <w:vAlign w:val="top"/>
                </w:tcPr>
                <w:p>
                  <w:pPr>
                    <w:jc w:val="center"/>
                  </w:pP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6</w:t>
                  </w:r>
                </w:p>
              </w:tc>
              <w:tc>
                <w:tcPr>
                  <w:tcW w:type="dxa" w:w="353"/>
                  <w:vMerge/>
                  <w:tcBorders>
                    <w:top w:val="none" w:color="000000" w:sz="4"/>
                    <w:left w:val="none" w:color="000000" w:sz="4"/>
                    <w:bottom w:val="single" w:color="000000" w:sz="4"/>
                    <w:right w:val="single" w:color="000000" w:sz="4"/>
                  </w:tcBorders>
                </w:tcPr>
                <w:p/>
              </w:tc>
              <w:tc>
                <w:tcPr>
                  <w:tcW w:type="dxa" w:w="570"/>
                  <w:tcBorders>
                    <w:top w:val="none" w:color="000000" w:sz="4"/>
                    <w:left w:val="none" w:color="000000" w:sz="4"/>
                    <w:bottom w:val="single" w:color="000000" w:sz="4"/>
                    <w:right w:val="single" w:color="000000" w:sz="4"/>
                  </w:tcBorders>
                  <w:vAlign w:val="top"/>
                </w:tcPr>
                <w:p>
                  <w:pPr>
                    <w:jc w:val="center"/>
                  </w:pPr>
                  <w:r>
                    <w:rPr>
                      <w:sz w:val="24"/>
                    </w:rPr>
                    <w:t>医用防护口罩（</w:t>
                  </w:r>
                  <w:r>
                    <w:rPr>
                      <w:sz w:val="24"/>
                    </w:rPr>
                    <w:t>N95）</w:t>
                  </w:r>
                </w:p>
              </w:tc>
              <w:tc>
                <w:tcPr>
                  <w:tcW w:type="dxa" w:w="2667"/>
                  <w:tcBorders>
                    <w:top w:val="none" w:color="000000" w:sz="4"/>
                    <w:left w:val="none" w:color="000000" w:sz="4"/>
                    <w:bottom w:val="single" w:color="000000" w:sz="4"/>
                    <w:right w:val="single" w:color="000000" w:sz="4"/>
                  </w:tcBorders>
                  <w:vAlign w:val="top"/>
                </w:tcPr>
                <w:p>
                  <w:pPr>
                    <w:jc w:val="both"/>
                  </w:pPr>
                  <w:r>
                    <w:rPr>
                      <w:sz w:val="24"/>
                    </w:rPr>
                    <w:t>1.有国内第二类医疗器械注册证。</w:t>
                  </w:r>
                </w:p>
                <w:p>
                  <w:pPr>
                    <w:jc w:val="both"/>
                  </w:pPr>
                  <w:r>
                    <w:rPr>
                      <w:sz w:val="24"/>
                    </w:rPr>
                    <w:t>2.适用于医疗工作环境下，过滤空气中的颗粒物，阻隔飞沫、血液、体液、分泌物等的自吸过滤式医用防护口罩。</w:t>
                  </w:r>
                </w:p>
                <w:p>
                  <w:pPr>
                    <w:jc w:val="both"/>
                  </w:pPr>
                  <w:r>
                    <w:rPr>
                      <w:sz w:val="24"/>
                    </w:rPr>
                    <w:t>3.符合GB19083-2010标准，提供2022年1月以来CMA或CNAS认可的检测机构出具的第三方检测报告。</w:t>
                  </w:r>
                </w:p>
                <w:p>
                  <w:pPr>
                    <w:jc w:val="both"/>
                  </w:pPr>
                  <w:r>
                    <w:rPr>
                      <w:sz w:val="24"/>
                    </w:rPr>
                    <w:t>4.滤料级别：高效低阻口罩：PFE过滤效率≥98%，呼吸阻力≤150Pa。</w:t>
                  </w:r>
                </w:p>
                <w:p>
                  <w:pPr>
                    <w:jc w:val="both"/>
                  </w:pPr>
                  <w:r>
                    <w:rPr>
                      <w:sz w:val="24"/>
                    </w:rPr>
                    <w:t>5.灭菌方式：环氧乙烷灭菌，纸塑袋独立装。</w:t>
                  </w:r>
                </w:p>
                <w:p>
                  <w:pPr>
                    <w:jc w:val="both"/>
                  </w:pPr>
                  <w:r>
                    <w:rPr>
                      <w:sz w:val="24"/>
                    </w:rPr>
                    <w:t>6.非挂耳式。</w:t>
                  </w:r>
                </w:p>
                <w:p>
                  <w:pPr>
                    <w:jc w:val="both"/>
                  </w:pPr>
                  <w:r>
                    <w:rPr>
                      <w:sz w:val="24"/>
                    </w:rPr>
                    <w:t>7.产品有效期≥2年。</w:t>
                  </w:r>
                </w:p>
              </w:tc>
              <w:tc>
                <w:tcPr>
                  <w:tcW w:type="dxa" w:w="387"/>
                  <w:tcBorders>
                    <w:top w:val="none" w:color="000000" w:sz="4"/>
                    <w:left w:val="none" w:color="000000" w:sz="4"/>
                    <w:bottom w:val="single" w:color="000000" w:sz="4"/>
                    <w:right w:val="single" w:color="000000" w:sz="4"/>
                  </w:tcBorders>
                  <w:vAlign w:val="top"/>
                </w:tcPr>
                <w:p>
                  <w:pPr>
                    <w:jc w:val="center"/>
                  </w:pPr>
                  <w:r>
                    <w:rPr>
                      <w:color w:val="000000"/>
                      <w:sz w:val="24"/>
                    </w:rPr>
                    <w:t>个</w:t>
                  </w:r>
                </w:p>
              </w:tc>
              <w:tc>
                <w:tcPr>
                  <w:tcW w:type="dxa" w:w="832"/>
                  <w:tcBorders>
                    <w:top w:val="none" w:color="000000" w:sz="4"/>
                    <w:left w:val="none" w:color="000000" w:sz="4"/>
                    <w:bottom w:val="single" w:color="000000" w:sz="4"/>
                    <w:right w:val="single" w:color="000000" w:sz="4"/>
                  </w:tcBorders>
                  <w:vAlign w:val="top"/>
                </w:tcPr>
                <w:p>
                  <w:pPr>
                    <w:jc w:val="center"/>
                  </w:pPr>
                  <w:r>
                    <w:rPr>
                      <w:color w:val="000000"/>
                      <w:sz w:val="24"/>
                    </w:rPr>
                    <w:t>68000</w:t>
                  </w:r>
                </w:p>
              </w:tc>
              <w:tc>
                <w:tcPr>
                  <w:tcW w:type="dxa" w:w="376"/>
                  <w:tcBorders>
                    <w:top w:val="none" w:color="000000" w:sz="4"/>
                    <w:left w:val="none" w:color="000000" w:sz="4"/>
                    <w:bottom w:val="single" w:color="000000" w:sz="4"/>
                    <w:right w:val="single" w:color="000000" w:sz="4"/>
                  </w:tcBorders>
                  <w:vAlign w:val="top"/>
                </w:tcPr>
                <w:p>
                  <w:pPr>
                    <w:jc w:val="center"/>
                  </w:pP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7</w:t>
                  </w:r>
                </w:p>
              </w:tc>
              <w:tc>
                <w:tcPr>
                  <w:tcW w:type="dxa" w:w="353"/>
                  <w:vMerge/>
                  <w:tcBorders>
                    <w:top w:val="none" w:color="000000" w:sz="4"/>
                    <w:left w:val="none" w:color="000000" w:sz="4"/>
                    <w:bottom w:val="single" w:color="000000" w:sz="4"/>
                    <w:right w:val="single" w:color="000000" w:sz="4"/>
                  </w:tcBorders>
                </w:tcPr>
                <w:p/>
              </w:tc>
              <w:tc>
                <w:tcPr>
                  <w:tcW w:type="dxa" w:w="570"/>
                  <w:tcBorders>
                    <w:top w:val="none" w:color="000000" w:sz="4"/>
                    <w:left w:val="none" w:color="000000" w:sz="4"/>
                    <w:bottom w:val="single" w:color="000000" w:sz="4"/>
                    <w:right w:val="single" w:color="000000" w:sz="4"/>
                  </w:tcBorders>
                  <w:vAlign w:val="top"/>
                </w:tcPr>
                <w:p>
                  <w:pPr>
                    <w:jc w:val="center"/>
                  </w:pPr>
                  <w:r>
                    <w:rPr>
                      <w:sz w:val="24"/>
                    </w:rPr>
                    <w:t>医用外科口罩</w:t>
                  </w:r>
                </w:p>
              </w:tc>
              <w:tc>
                <w:tcPr>
                  <w:tcW w:type="dxa" w:w="2667"/>
                  <w:tcBorders>
                    <w:top w:val="none" w:color="000000" w:sz="4"/>
                    <w:left w:val="none" w:color="000000" w:sz="4"/>
                    <w:bottom w:val="single" w:color="000000" w:sz="4"/>
                    <w:right w:val="single" w:color="000000" w:sz="4"/>
                  </w:tcBorders>
                  <w:vAlign w:val="top"/>
                </w:tcPr>
                <w:p>
                  <w:pPr>
                    <w:jc w:val="both"/>
                  </w:pPr>
                  <w:r>
                    <w:rPr>
                      <w:sz w:val="24"/>
                    </w:rPr>
                    <w:t>1.有国内第二类医疗器械注册证。</w:t>
                  </w:r>
                </w:p>
                <w:p>
                  <w:pPr>
                    <w:jc w:val="both"/>
                  </w:pPr>
                  <w:r>
                    <w:rPr>
                      <w:sz w:val="24"/>
                    </w:rPr>
                    <w:t>2.产品符合YY 0469-2011《医用外科口罩》标准，</w:t>
                  </w:r>
                  <w:r>
                    <w:rPr>
                      <w:sz w:val="24"/>
                    </w:rPr>
                    <w:t>提供</w:t>
                  </w:r>
                  <w:r>
                    <w:rPr>
                      <w:sz w:val="24"/>
                    </w:rPr>
                    <w:t>2022年1月以来</w:t>
                  </w:r>
                  <w:r>
                    <w:rPr>
                      <w:sz w:val="24"/>
                    </w:rPr>
                    <w:t>CMA或CNAS认证的机构出具的第三方检测报告。</w:t>
                  </w:r>
                </w:p>
                <w:p>
                  <w:pPr>
                    <w:jc w:val="both"/>
                  </w:pPr>
                  <w:r>
                    <w:rPr>
                      <w:sz w:val="24"/>
                    </w:rPr>
                    <w:t>3.产品结构及组成：口罩由口罩体、鼻夹、口罩带组成。</w:t>
                  </w:r>
                </w:p>
                <w:p>
                  <w:pPr>
                    <w:jc w:val="both"/>
                  </w:pPr>
                  <w:r>
                    <w:rPr>
                      <w:sz w:val="24"/>
                    </w:rPr>
                    <w:t>4</w:t>
                  </w:r>
                  <w:r>
                    <w:rPr>
                      <w:sz w:val="24"/>
                    </w:rPr>
                    <w:t>.</w:t>
                  </w:r>
                  <w:r>
                    <w:rPr>
                      <w:sz w:val="24"/>
                    </w:rPr>
                    <w:t>口罩体由非织造布和熔喷非织造布制成，鼻夹为可塑性。</w:t>
                  </w:r>
                </w:p>
                <w:p>
                  <w:pPr>
                    <w:jc w:val="both"/>
                  </w:pPr>
                  <w:r>
                    <w:rPr>
                      <w:sz w:val="24"/>
                    </w:rPr>
                    <w:t>5.口罩的细菌过滤效率应不小于99%。2ml合成血液以16.0kPa120mmHg压力喷向口罩外侧面后，口罩内侧面不应出现渗透，适用于有创操作中阻止血液、体液和飞溅物的防护，以及经飞沫传播的呼吸道传染病的防护。</w:t>
                  </w:r>
                </w:p>
                <w:p>
                  <w:pPr>
                    <w:jc w:val="both"/>
                  </w:pPr>
                  <w:r>
                    <w:rPr>
                      <w:sz w:val="24"/>
                    </w:rPr>
                    <w:t>6.口罩应经一有效的灭菌过程，确保产品无菌。产品经环氧乙烷消毒后，环氧乙烷残留量不超过10μg/g。</w:t>
                  </w:r>
                </w:p>
                <w:p>
                  <w:pPr>
                    <w:jc w:val="both"/>
                  </w:pPr>
                  <w:r>
                    <w:rPr>
                      <w:sz w:val="24"/>
                    </w:rPr>
                    <w:t>7.口罩外观应整洁、形状完好，表面不得有破损、污渍。</w:t>
                  </w:r>
                </w:p>
                <w:p>
                  <w:pPr>
                    <w:jc w:val="both"/>
                  </w:pPr>
                  <w:r>
                    <w:rPr>
                      <w:sz w:val="24"/>
                    </w:rPr>
                    <w:t>8.规格：17.5cm×9.5cm。</w:t>
                  </w:r>
                </w:p>
                <w:p>
                  <w:pPr>
                    <w:jc w:val="both"/>
                  </w:pPr>
                  <w:r>
                    <w:rPr>
                      <w:sz w:val="24"/>
                    </w:rPr>
                    <w:t>9.产品有效期≥2年。</w:t>
                  </w:r>
                </w:p>
                <w:p>
                  <w:pPr>
                    <w:jc w:val="both"/>
                  </w:pPr>
                  <w:r>
                    <w:rPr>
                      <w:sz w:val="24"/>
                    </w:rPr>
                    <w:t>10.耳挂式，独立包装。</w:t>
                  </w:r>
                </w:p>
                <w:p>
                  <w:pPr>
                    <w:jc w:val="both"/>
                  </w:pPr>
                  <w:r>
                    <w:rPr>
                      <w:sz w:val="24"/>
                    </w:rPr>
                    <w:t>11.压力差口罩两侧面进行气体交换的压力差P应不大于25Pa/cm2。</w:t>
                  </w:r>
                </w:p>
              </w:tc>
              <w:tc>
                <w:tcPr>
                  <w:tcW w:type="dxa" w:w="387"/>
                  <w:tcBorders>
                    <w:top w:val="none" w:color="000000" w:sz="4"/>
                    <w:left w:val="none" w:color="000000" w:sz="4"/>
                    <w:bottom w:val="single" w:color="000000" w:sz="4"/>
                    <w:right w:val="single" w:color="000000" w:sz="4"/>
                  </w:tcBorders>
                  <w:vAlign w:val="top"/>
                </w:tcPr>
                <w:p>
                  <w:pPr>
                    <w:jc w:val="center"/>
                  </w:pPr>
                  <w:r>
                    <w:rPr>
                      <w:sz w:val="24"/>
                    </w:rPr>
                    <w:t>个</w:t>
                  </w:r>
                </w:p>
              </w:tc>
              <w:tc>
                <w:tcPr>
                  <w:tcW w:type="dxa" w:w="832"/>
                  <w:tcBorders>
                    <w:top w:val="none" w:color="000000" w:sz="4"/>
                    <w:left w:val="none" w:color="000000" w:sz="4"/>
                    <w:bottom w:val="single" w:color="000000" w:sz="4"/>
                    <w:right w:val="single" w:color="000000" w:sz="4"/>
                  </w:tcBorders>
                  <w:vAlign w:val="top"/>
                </w:tcPr>
                <w:p>
                  <w:pPr>
                    <w:jc w:val="center"/>
                  </w:pPr>
                  <w:r>
                    <w:rPr>
                      <w:sz w:val="24"/>
                    </w:rPr>
                    <w:t>99000</w:t>
                  </w:r>
                </w:p>
              </w:tc>
              <w:tc>
                <w:tcPr>
                  <w:tcW w:type="dxa" w:w="376"/>
                  <w:tcBorders>
                    <w:top w:val="none" w:color="000000" w:sz="4"/>
                    <w:left w:val="none" w:color="000000" w:sz="4"/>
                    <w:bottom w:val="single" w:color="000000" w:sz="4"/>
                    <w:right w:val="single" w:color="000000" w:sz="4"/>
                  </w:tcBorders>
                  <w:vAlign w:val="top"/>
                </w:tcPr>
                <w:p>
                  <w:pPr>
                    <w:jc w:val="center"/>
                  </w:pP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8</w:t>
                  </w:r>
                </w:p>
              </w:tc>
              <w:tc>
                <w:tcPr>
                  <w:tcW w:type="dxa" w:w="353"/>
                  <w:vMerge/>
                  <w:tcBorders>
                    <w:top w:val="none" w:color="000000" w:sz="4"/>
                    <w:left w:val="none" w:color="000000" w:sz="4"/>
                    <w:bottom w:val="single" w:color="000000" w:sz="4"/>
                    <w:right w:val="single" w:color="000000" w:sz="4"/>
                  </w:tcBorders>
                </w:tcPr>
                <w:p/>
              </w:tc>
              <w:tc>
                <w:tcPr>
                  <w:tcW w:type="dxa" w:w="570"/>
                  <w:tcBorders>
                    <w:top w:val="none" w:color="000000" w:sz="4"/>
                    <w:left w:val="none" w:color="000000" w:sz="4"/>
                    <w:bottom w:val="single" w:color="000000" w:sz="4"/>
                    <w:right w:val="single" w:color="000000" w:sz="4"/>
                  </w:tcBorders>
                  <w:vAlign w:val="top"/>
                </w:tcPr>
                <w:p>
                  <w:pPr>
                    <w:jc w:val="center"/>
                  </w:pPr>
                  <w:r>
                    <w:rPr>
                      <w:sz w:val="24"/>
                    </w:rPr>
                    <w:t>一次性使用医用口罩</w:t>
                  </w:r>
                </w:p>
              </w:tc>
              <w:tc>
                <w:tcPr>
                  <w:tcW w:type="dxa" w:w="2667"/>
                  <w:tcBorders>
                    <w:top w:val="none" w:color="000000" w:sz="4"/>
                    <w:left w:val="none" w:color="000000" w:sz="4"/>
                    <w:bottom w:val="single" w:color="000000" w:sz="4"/>
                    <w:right w:val="single" w:color="000000" w:sz="4"/>
                  </w:tcBorders>
                  <w:vAlign w:val="top"/>
                </w:tcPr>
                <w:p>
                  <w:pPr>
                    <w:jc w:val="both"/>
                  </w:pPr>
                  <w:r>
                    <w:rPr>
                      <w:sz w:val="24"/>
                    </w:rPr>
                    <w:t>1.有国内第二类医疗器械注册证。</w:t>
                  </w:r>
                </w:p>
                <w:p>
                  <w:pPr>
                    <w:jc w:val="both"/>
                  </w:pPr>
                  <w:r>
                    <w:rPr>
                      <w:sz w:val="24"/>
                    </w:rPr>
                    <w:t>2.产品符合YY</w:t>
                  </w:r>
                  <w:r>
                    <w:rPr>
                      <w:sz w:val="24"/>
                    </w:rPr>
                    <w:t>/</w:t>
                  </w:r>
                  <w:r>
                    <w:rPr>
                      <w:sz w:val="24"/>
                    </w:rPr>
                    <w:t>T 0969-2013《一次性使用医用口罩》标准，</w:t>
                  </w:r>
                  <w:r>
                    <w:rPr>
                      <w:sz w:val="24"/>
                    </w:rPr>
                    <w:t>提供</w:t>
                  </w:r>
                  <w:r>
                    <w:rPr>
                      <w:sz w:val="24"/>
                    </w:rPr>
                    <w:t>2022年1月以来</w:t>
                  </w:r>
                  <w:r>
                    <w:rPr>
                      <w:sz w:val="24"/>
                    </w:rPr>
                    <w:t>CMA或CNAS认证的机构出具的第三方检测报告。</w:t>
                  </w:r>
                </w:p>
                <w:p>
                  <w:pPr>
                    <w:jc w:val="both"/>
                  </w:pPr>
                  <w:r>
                    <w:rPr>
                      <w:sz w:val="24"/>
                    </w:rPr>
                    <w:t>3.产品结构及组成：口罩由口罩体、鼻夹、口罩带组成。</w:t>
                  </w:r>
                </w:p>
                <w:p>
                  <w:pPr>
                    <w:jc w:val="both"/>
                  </w:pPr>
                  <w:r>
                    <w:rPr>
                      <w:sz w:val="24"/>
                    </w:rPr>
                    <w:t>4.口罩体由非织造布和熔喷非织造布制成，鼻夹为可塑性。</w:t>
                  </w:r>
                </w:p>
                <w:p>
                  <w:pPr>
                    <w:jc w:val="both"/>
                  </w:pPr>
                  <w:r>
                    <w:rPr>
                      <w:sz w:val="24"/>
                    </w:rPr>
                    <w:t>5.口罩的细菌过滤效率应不小于99%。</w:t>
                  </w:r>
                </w:p>
                <w:p>
                  <w:pPr>
                    <w:jc w:val="both"/>
                  </w:pPr>
                  <w:r>
                    <w:rPr>
                      <w:sz w:val="24"/>
                    </w:rPr>
                    <w:t>6.压力差口罩两侧面进行气体交换的压力差P应不大于25Pa/cm2。</w:t>
                  </w:r>
                </w:p>
                <w:p>
                  <w:pPr>
                    <w:jc w:val="both"/>
                  </w:pPr>
                  <w:r>
                    <w:rPr>
                      <w:sz w:val="24"/>
                    </w:rPr>
                    <w:t>7.无菌：口罩采用环氧乙烷灭菌，环氧乙烷残留量应不超10ug/g。</w:t>
                  </w:r>
                </w:p>
                <w:p>
                  <w:pPr>
                    <w:jc w:val="both"/>
                  </w:pPr>
                  <w:r>
                    <w:rPr>
                      <w:sz w:val="24"/>
                    </w:rPr>
                    <w:t>8.规格：17.5cm×9.5cm。</w:t>
                  </w:r>
                </w:p>
                <w:p>
                  <w:pPr>
                    <w:jc w:val="both"/>
                  </w:pPr>
                  <w:r>
                    <w:rPr>
                      <w:sz w:val="24"/>
                    </w:rPr>
                    <w:t>9.产品有效期≥2年。</w:t>
                  </w:r>
                </w:p>
              </w:tc>
              <w:tc>
                <w:tcPr>
                  <w:tcW w:type="dxa" w:w="387"/>
                  <w:tcBorders>
                    <w:top w:val="none" w:color="000000" w:sz="4"/>
                    <w:left w:val="none" w:color="000000" w:sz="4"/>
                    <w:bottom w:val="single" w:color="000000" w:sz="4"/>
                    <w:right w:val="single" w:color="000000" w:sz="4"/>
                  </w:tcBorders>
                  <w:vAlign w:val="top"/>
                </w:tcPr>
                <w:p>
                  <w:pPr>
                    <w:jc w:val="center"/>
                  </w:pPr>
                  <w:r>
                    <w:rPr>
                      <w:sz w:val="24"/>
                    </w:rPr>
                    <w:t>个</w:t>
                  </w:r>
                </w:p>
              </w:tc>
              <w:tc>
                <w:tcPr>
                  <w:tcW w:type="dxa" w:w="832"/>
                  <w:tcBorders>
                    <w:top w:val="none" w:color="000000" w:sz="4"/>
                    <w:left w:val="none" w:color="000000" w:sz="4"/>
                    <w:bottom w:val="single" w:color="000000" w:sz="4"/>
                    <w:right w:val="single" w:color="000000" w:sz="4"/>
                  </w:tcBorders>
                  <w:vAlign w:val="top"/>
                </w:tcPr>
                <w:p>
                  <w:pPr>
                    <w:jc w:val="center"/>
                  </w:pPr>
                  <w:r>
                    <w:rPr>
                      <w:sz w:val="24"/>
                    </w:rPr>
                    <w:t>514800</w:t>
                  </w:r>
                </w:p>
              </w:tc>
              <w:tc>
                <w:tcPr>
                  <w:tcW w:type="dxa" w:w="376"/>
                  <w:tcBorders>
                    <w:top w:val="none" w:color="000000" w:sz="4"/>
                    <w:left w:val="none" w:color="000000" w:sz="4"/>
                    <w:bottom w:val="single" w:color="000000" w:sz="4"/>
                    <w:right w:val="single" w:color="000000" w:sz="4"/>
                  </w:tcBorders>
                  <w:vAlign w:val="top"/>
                </w:tcPr>
                <w:p>
                  <w:pPr>
                    <w:jc w:val="center"/>
                  </w:pP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9</w:t>
                  </w:r>
                </w:p>
              </w:tc>
              <w:tc>
                <w:tcPr>
                  <w:tcW w:type="dxa" w:w="353"/>
                  <w:vMerge/>
                  <w:tcBorders>
                    <w:top w:val="none" w:color="000000" w:sz="4"/>
                    <w:left w:val="none" w:color="000000" w:sz="4"/>
                    <w:bottom w:val="single" w:color="000000" w:sz="4"/>
                    <w:right w:val="single" w:color="000000" w:sz="4"/>
                  </w:tcBorders>
                </w:tcPr>
                <w:p/>
              </w:tc>
              <w:tc>
                <w:tcPr>
                  <w:tcW w:type="dxa" w:w="570"/>
                  <w:tcBorders>
                    <w:top w:val="none" w:color="000000" w:sz="4"/>
                    <w:left w:val="none" w:color="000000" w:sz="4"/>
                    <w:bottom w:val="single" w:color="000000" w:sz="4"/>
                    <w:right w:val="single" w:color="000000" w:sz="4"/>
                  </w:tcBorders>
                  <w:vAlign w:val="top"/>
                </w:tcPr>
                <w:p>
                  <w:pPr>
                    <w:jc w:val="center"/>
                  </w:pPr>
                  <w:r>
                    <w:rPr>
                      <w:sz w:val="24"/>
                    </w:rPr>
                    <w:t>儿童口罩</w:t>
                  </w:r>
                </w:p>
              </w:tc>
              <w:tc>
                <w:tcPr>
                  <w:tcW w:type="dxa" w:w="2667"/>
                  <w:tcBorders>
                    <w:top w:val="none" w:color="000000" w:sz="4"/>
                    <w:left w:val="none" w:color="000000" w:sz="4"/>
                    <w:bottom w:val="single" w:color="000000" w:sz="4"/>
                    <w:right w:val="single" w:color="000000" w:sz="4"/>
                  </w:tcBorders>
                  <w:vAlign w:val="top"/>
                </w:tcPr>
                <w:p>
                  <w:pPr>
                    <w:jc w:val="both"/>
                  </w:pPr>
                  <w:r>
                    <w:rPr>
                      <w:sz w:val="24"/>
                    </w:rPr>
                    <w:t>1.技术标准：GB</w:t>
                  </w:r>
                  <w:r>
                    <w:rPr>
                      <w:sz w:val="24"/>
                    </w:rPr>
                    <w:t>/T</w:t>
                  </w:r>
                  <w:r>
                    <w:rPr>
                      <w:sz w:val="24"/>
                    </w:rPr>
                    <w:t>38880-2020《儿童口罩技术规范》。</w:t>
                  </w:r>
                </w:p>
                <w:p>
                  <w:pPr>
                    <w:jc w:val="both"/>
                  </w:pPr>
                  <w:r>
                    <w:rPr>
                      <w:sz w:val="24"/>
                    </w:rPr>
                    <w:t>2.</w:t>
                  </w:r>
                  <w:r>
                    <w:rPr>
                      <w:sz w:val="24"/>
                    </w:rPr>
                    <w:t>提供</w:t>
                  </w:r>
                  <w:r>
                    <w:rPr>
                      <w:sz w:val="24"/>
                    </w:rPr>
                    <w:t>2022年1月以来</w:t>
                  </w:r>
                  <w:r>
                    <w:rPr>
                      <w:sz w:val="24"/>
                    </w:rPr>
                    <w:t>CMA或CNAS认证的机构出具的第三方检测报告。</w:t>
                  </w:r>
                </w:p>
                <w:p>
                  <w:pPr>
                    <w:jc w:val="both"/>
                  </w:pPr>
                  <w:r>
                    <w:rPr>
                      <w:sz w:val="24"/>
                    </w:rPr>
                    <w:t>3.儿童卫生口罩，主要由熔喷布和无纺布制成，结构包括罩体、口罩带、鼻夹、非无菌一次性使用，尺寸14.5</w:t>
                  </w:r>
                  <w:r>
                    <w:rPr>
                      <w:sz w:val="24"/>
                    </w:rPr>
                    <w:t>cm</w:t>
                  </w:r>
                  <w:r>
                    <w:rPr>
                      <w:sz w:val="24"/>
                    </w:rPr>
                    <w:t>×</w:t>
                  </w:r>
                  <w:r>
                    <w:rPr>
                      <w:sz w:val="24"/>
                    </w:rPr>
                    <w:t>9.5cm。</w:t>
                  </w:r>
                </w:p>
                <w:p>
                  <w:pPr>
                    <w:jc w:val="both"/>
                  </w:pPr>
                  <w:r>
                    <w:rPr>
                      <w:sz w:val="24"/>
                    </w:rPr>
                    <w:t>4.三层过滤，BFE细菌过滤效率≥95%，PFE非油性颗粒过滤效率≥90%，通气阻力≤30Pa；内层为优质无纺布，柔软亲肤，无毒无刺激无致敏性。</w:t>
                  </w:r>
                </w:p>
                <w:p>
                  <w:pPr>
                    <w:jc w:val="both"/>
                  </w:pPr>
                  <w:r>
                    <w:rPr>
                      <w:sz w:val="24"/>
                    </w:rPr>
                    <w:t>5.用于过滤空气中的颗粒物，阻隔微生物、花粉、飞沫等。</w:t>
                  </w:r>
                </w:p>
                <w:p>
                  <w:pPr>
                    <w:jc w:val="both"/>
                  </w:pPr>
                  <w:r>
                    <w:rPr>
                      <w:sz w:val="24"/>
                    </w:rPr>
                    <w:t>6.口罩外观应整洁、形状完好，无霉斑、表面不得有破损、污渍。</w:t>
                  </w:r>
                </w:p>
                <w:p>
                  <w:pPr>
                    <w:jc w:val="both"/>
                  </w:pPr>
                  <w:r>
                    <w:rPr>
                      <w:sz w:val="24"/>
                    </w:rPr>
                    <w:t>7.产品有效期≥2年。</w:t>
                  </w:r>
                </w:p>
              </w:tc>
              <w:tc>
                <w:tcPr>
                  <w:tcW w:type="dxa" w:w="387"/>
                  <w:tcBorders>
                    <w:top w:val="none" w:color="000000" w:sz="4"/>
                    <w:left w:val="none" w:color="000000" w:sz="4"/>
                    <w:bottom w:val="single" w:color="000000" w:sz="4"/>
                    <w:right w:val="single" w:color="000000" w:sz="4"/>
                  </w:tcBorders>
                  <w:vAlign w:val="top"/>
                </w:tcPr>
                <w:p>
                  <w:pPr>
                    <w:jc w:val="center"/>
                  </w:pPr>
                  <w:r>
                    <w:rPr>
                      <w:sz w:val="24"/>
                    </w:rPr>
                    <w:t>个</w:t>
                  </w:r>
                </w:p>
              </w:tc>
              <w:tc>
                <w:tcPr>
                  <w:tcW w:type="dxa" w:w="832"/>
                  <w:tcBorders>
                    <w:top w:val="none" w:color="000000" w:sz="4"/>
                    <w:left w:val="none" w:color="000000" w:sz="4"/>
                    <w:bottom w:val="single" w:color="000000" w:sz="4"/>
                    <w:right w:val="single" w:color="000000" w:sz="4"/>
                  </w:tcBorders>
                  <w:vAlign w:val="top"/>
                </w:tcPr>
                <w:p>
                  <w:pPr>
                    <w:jc w:val="center"/>
                  </w:pPr>
                  <w:r>
                    <w:rPr>
                      <w:sz w:val="24"/>
                    </w:rPr>
                    <w:t>3000</w:t>
                  </w:r>
                </w:p>
              </w:tc>
              <w:tc>
                <w:tcPr>
                  <w:tcW w:type="dxa" w:w="376"/>
                  <w:tcBorders>
                    <w:top w:val="none" w:color="000000" w:sz="4"/>
                    <w:left w:val="none" w:color="000000" w:sz="4"/>
                    <w:bottom w:val="single" w:color="000000" w:sz="4"/>
                    <w:right w:val="single" w:color="000000" w:sz="4"/>
                  </w:tcBorders>
                  <w:vAlign w:val="top"/>
                </w:tcPr>
                <w:p>
                  <w:pPr>
                    <w:jc w:val="center"/>
                  </w:pP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10</w:t>
                  </w:r>
                </w:p>
              </w:tc>
              <w:tc>
                <w:tcPr>
                  <w:tcW w:type="dxa" w:w="353"/>
                  <w:vMerge/>
                  <w:tcBorders>
                    <w:top w:val="none" w:color="000000" w:sz="4"/>
                    <w:left w:val="none" w:color="000000" w:sz="4"/>
                    <w:bottom w:val="single" w:color="000000" w:sz="4"/>
                    <w:right w:val="single" w:color="000000" w:sz="4"/>
                  </w:tcBorders>
                </w:tcPr>
                <w:p/>
              </w:tc>
              <w:tc>
                <w:tcPr>
                  <w:tcW w:type="dxa" w:w="570"/>
                  <w:tcBorders>
                    <w:top w:val="none" w:color="000000" w:sz="4"/>
                    <w:left w:val="none" w:color="000000" w:sz="4"/>
                    <w:bottom w:val="single" w:color="000000" w:sz="4"/>
                    <w:right w:val="single" w:color="000000" w:sz="4"/>
                  </w:tcBorders>
                  <w:vAlign w:val="top"/>
                </w:tcPr>
                <w:p>
                  <w:pPr>
                    <w:jc w:val="center"/>
                  </w:pPr>
                  <w:r>
                    <w:rPr>
                      <w:sz w:val="24"/>
                    </w:rPr>
                    <w:t>手持式红外测温器</w:t>
                  </w:r>
                </w:p>
              </w:tc>
              <w:tc>
                <w:tcPr>
                  <w:tcW w:type="dxa" w:w="2667"/>
                  <w:tcBorders>
                    <w:top w:val="none" w:color="000000" w:sz="4"/>
                    <w:left w:val="none" w:color="000000" w:sz="4"/>
                    <w:bottom w:val="single" w:color="000000" w:sz="4"/>
                    <w:right w:val="single" w:color="000000" w:sz="4"/>
                  </w:tcBorders>
                  <w:vAlign w:val="top"/>
                </w:tcPr>
                <w:p>
                  <w:pPr>
                    <w:jc w:val="both"/>
                  </w:pPr>
                  <w:r>
                    <w:rPr>
                      <w:sz w:val="24"/>
                    </w:rPr>
                    <w:t>主要由</w:t>
                  </w:r>
                  <w:r>
                    <w:rPr>
                      <w:sz w:val="24"/>
                    </w:rPr>
                    <w:t>LCD显示屏、红外探测头、PCBA线路板、塑胶壳、按键、喇叭等部分组成。用于非接触式测量人体额头温度。测量范围：32℃-42.9℃之间。</w:t>
                  </w:r>
                </w:p>
              </w:tc>
              <w:tc>
                <w:tcPr>
                  <w:tcW w:type="dxa" w:w="387"/>
                  <w:tcBorders>
                    <w:top w:val="none" w:color="000000" w:sz="4"/>
                    <w:left w:val="none" w:color="000000" w:sz="4"/>
                    <w:bottom w:val="single" w:color="000000" w:sz="4"/>
                    <w:right w:val="single" w:color="000000" w:sz="4"/>
                  </w:tcBorders>
                  <w:vAlign w:val="top"/>
                </w:tcPr>
                <w:p>
                  <w:pPr>
                    <w:jc w:val="center"/>
                  </w:pPr>
                  <w:r>
                    <w:rPr>
                      <w:sz w:val="24"/>
                    </w:rPr>
                    <w:t>个</w:t>
                  </w:r>
                </w:p>
              </w:tc>
              <w:tc>
                <w:tcPr>
                  <w:tcW w:type="dxa" w:w="832"/>
                  <w:tcBorders>
                    <w:top w:val="none" w:color="000000" w:sz="4"/>
                    <w:left w:val="none" w:color="000000" w:sz="4"/>
                    <w:bottom w:val="single" w:color="000000" w:sz="4"/>
                    <w:right w:val="single" w:color="000000" w:sz="4"/>
                  </w:tcBorders>
                  <w:vAlign w:val="top"/>
                </w:tcPr>
                <w:p>
                  <w:pPr>
                    <w:jc w:val="center"/>
                  </w:pPr>
                  <w:r>
                    <w:rPr>
                      <w:sz w:val="24"/>
                    </w:rPr>
                    <w:t>352</w:t>
                  </w:r>
                </w:p>
              </w:tc>
              <w:tc>
                <w:tcPr>
                  <w:tcW w:type="dxa" w:w="376"/>
                  <w:tcBorders>
                    <w:top w:val="none" w:color="000000" w:sz="4"/>
                    <w:left w:val="none" w:color="000000" w:sz="4"/>
                    <w:bottom w:val="single" w:color="000000" w:sz="4"/>
                    <w:right w:val="single" w:color="000000" w:sz="4"/>
                  </w:tcBorders>
                  <w:vAlign w:val="top"/>
                </w:tcPr>
                <w:p>
                  <w:pPr>
                    <w:jc w:val="center"/>
                  </w:pP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11</w:t>
                  </w:r>
                </w:p>
              </w:tc>
              <w:tc>
                <w:tcPr>
                  <w:tcW w:type="dxa" w:w="353"/>
                  <w:vMerge w:val="restart"/>
                  <w:tcBorders>
                    <w:top w:val="none" w:color="000000" w:sz="4"/>
                    <w:left w:val="none" w:color="000000" w:sz="4"/>
                    <w:bottom w:val="single" w:color="000000" w:sz="4"/>
                    <w:right w:val="single" w:color="000000" w:sz="4"/>
                  </w:tcBorders>
                  <w:vAlign w:val="top"/>
                </w:tcPr>
                <w:p>
                  <w:pPr>
                    <w:jc w:val="center"/>
                  </w:pPr>
                  <w:r>
                    <w:rPr>
                      <w:sz w:val="24"/>
                    </w:rPr>
                    <w:t>消杀药剂</w:t>
                  </w:r>
                </w:p>
              </w:tc>
              <w:tc>
                <w:tcPr>
                  <w:tcW w:type="dxa" w:w="570"/>
                  <w:tcBorders>
                    <w:top w:val="none" w:color="000000" w:sz="4"/>
                    <w:left w:val="none" w:color="000000" w:sz="4"/>
                    <w:bottom w:val="single" w:color="000000" w:sz="4"/>
                    <w:right w:val="single" w:color="000000" w:sz="4"/>
                  </w:tcBorders>
                  <w:vAlign w:val="top"/>
                </w:tcPr>
                <w:p>
                  <w:pPr>
                    <w:jc w:val="center"/>
                  </w:pPr>
                  <w:r>
                    <w:rPr>
                      <w:sz w:val="24"/>
                    </w:rPr>
                    <w:t>消毒粉（环境消毒）</w:t>
                  </w:r>
                </w:p>
              </w:tc>
              <w:tc>
                <w:tcPr>
                  <w:tcW w:type="dxa" w:w="2667"/>
                  <w:tcBorders>
                    <w:top w:val="none" w:color="000000" w:sz="4"/>
                    <w:left w:val="none" w:color="000000" w:sz="4"/>
                    <w:bottom w:val="single" w:color="000000" w:sz="4"/>
                    <w:right w:val="single" w:color="000000" w:sz="4"/>
                  </w:tcBorders>
                  <w:vAlign w:val="top"/>
                </w:tcPr>
                <w:p>
                  <w:pPr>
                    <w:jc w:val="both"/>
                  </w:pPr>
                  <w:r>
                    <w:rPr>
                      <w:sz w:val="24"/>
                    </w:rPr>
                    <w:t>1.符合消毒技术规范标准要求。</w:t>
                  </w:r>
                </w:p>
                <w:p>
                  <w:pPr>
                    <w:jc w:val="both"/>
                  </w:pPr>
                  <w:r>
                    <w:rPr>
                      <w:sz w:val="24"/>
                    </w:rPr>
                    <w:t>2.适用于生活饮用水、医院污水、游泳池水、硬质物体表面、织物及其他多孔物体表面、食饮具、食品加工工具和设备、瓜果蔬菜、室内空气、污物。</w:t>
                  </w:r>
                </w:p>
                <w:p>
                  <w:pPr>
                    <w:jc w:val="both"/>
                  </w:pPr>
                  <w:r>
                    <w:rPr>
                      <w:sz w:val="24"/>
                    </w:rPr>
                    <w:t>3.采用含氯的有效成分作为杀毒成分，二氧化氯含量10±1(w/w)，粉剂型。</w:t>
                  </w:r>
                </w:p>
                <w:p>
                  <w:pPr>
                    <w:jc w:val="both"/>
                  </w:pPr>
                  <w:r>
                    <w:rPr>
                      <w:sz w:val="24"/>
                    </w:rPr>
                    <w:t>4.对脊髓灰质炎病毒的病毒灭活率＞99.99%。</w:t>
                  </w:r>
                </w:p>
                <w:p>
                  <w:pPr>
                    <w:jc w:val="both"/>
                  </w:pPr>
                  <w:r>
                    <w:rPr>
                      <w:sz w:val="24"/>
                    </w:rPr>
                    <w:t>5.产品有效期≥2年。</w:t>
                  </w:r>
                </w:p>
                <w:p>
                  <w:pPr>
                    <w:jc w:val="both"/>
                  </w:pPr>
                  <w:r>
                    <w:rPr>
                      <w:sz w:val="24"/>
                    </w:rPr>
                    <w:t>6.产品规格应为100g/包，独立包装。</w:t>
                  </w:r>
                </w:p>
              </w:tc>
              <w:tc>
                <w:tcPr>
                  <w:tcW w:type="dxa" w:w="387"/>
                  <w:tcBorders>
                    <w:top w:val="none" w:color="000000" w:sz="4"/>
                    <w:left w:val="none" w:color="000000" w:sz="4"/>
                    <w:bottom w:val="single" w:color="000000" w:sz="4"/>
                    <w:right w:val="single" w:color="000000" w:sz="4"/>
                  </w:tcBorders>
                  <w:vAlign w:val="top"/>
                </w:tcPr>
                <w:p>
                  <w:pPr>
                    <w:jc w:val="center"/>
                  </w:pPr>
                  <w:r>
                    <w:rPr>
                      <w:sz w:val="24"/>
                    </w:rPr>
                    <w:t>包</w:t>
                  </w:r>
                </w:p>
              </w:tc>
              <w:tc>
                <w:tcPr>
                  <w:tcW w:type="dxa" w:w="832"/>
                  <w:tcBorders>
                    <w:top w:val="none" w:color="000000" w:sz="4"/>
                    <w:left w:val="none" w:color="000000" w:sz="4"/>
                    <w:bottom w:val="single" w:color="000000" w:sz="4"/>
                    <w:right w:val="single" w:color="000000" w:sz="4"/>
                  </w:tcBorders>
                  <w:vAlign w:val="top"/>
                </w:tcPr>
                <w:p>
                  <w:pPr>
                    <w:jc w:val="center"/>
                  </w:pPr>
                  <w:r>
                    <w:rPr>
                      <w:sz w:val="24"/>
                    </w:rPr>
                    <w:t>10000</w:t>
                  </w:r>
                </w:p>
              </w:tc>
              <w:tc>
                <w:tcPr>
                  <w:tcW w:type="dxa" w:w="376"/>
                  <w:tcBorders>
                    <w:top w:val="none" w:color="000000" w:sz="4"/>
                    <w:left w:val="none" w:color="000000" w:sz="4"/>
                    <w:bottom w:val="single" w:color="000000" w:sz="4"/>
                    <w:right w:val="single" w:color="000000" w:sz="4"/>
                  </w:tcBorders>
                  <w:vAlign w:val="top"/>
                </w:tcPr>
                <w:p>
                  <w:pPr>
                    <w:jc w:val="center"/>
                  </w:pP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12</w:t>
                  </w:r>
                </w:p>
              </w:tc>
              <w:tc>
                <w:tcPr>
                  <w:tcW w:type="dxa" w:w="353"/>
                  <w:vMerge/>
                  <w:tcBorders>
                    <w:top w:val="none" w:color="000000" w:sz="4"/>
                    <w:left w:val="none" w:color="000000" w:sz="4"/>
                    <w:bottom w:val="single" w:color="000000" w:sz="4"/>
                    <w:right w:val="single" w:color="000000" w:sz="4"/>
                  </w:tcBorders>
                </w:tcPr>
                <w:p/>
              </w:tc>
              <w:tc>
                <w:tcPr>
                  <w:tcW w:type="dxa" w:w="570"/>
                  <w:tcBorders>
                    <w:top w:val="none" w:color="000000" w:sz="4"/>
                    <w:left w:val="none" w:color="000000" w:sz="4"/>
                    <w:bottom w:val="single" w:color="000000" w:sz="4"/>
                    <w:right w:val="single" w:color="000000" w:sz="4"/>
                  </w:tcBorders>
                  <w:vAlign w:val="top"/>
                </w:tcPr>
                <w:p>
                  <w:pPr>
                    <w:jc w:val="center"/>
                  </w:pPr>
                  <w:r>
                    <w:rPr>
                      <w:sz w:val="24"/>
                    </w:rPr>
                    <w:t>消毒剂（环境消毒）</w:t>
                  </w:r>
                </w:p>
              </w:tc>
              <w:tc>
                <w:tcPr>
                  <w:tcW w:type="dxa" w:w="2667"/>
                  <w:tcBorders>
                    <w:top w:val="none" w:color="000000" w:sz="4"/>
                    <w:left w:val="none" w:color="000000" w:sz="4"/>
                    <w:bottom w:val="single" w:color="000000" w:sz="4"/>
                    <w:right w:val="single" w:color="000000" w:sz="4"/>
                  </w:tcBorders>
                  <w:vAlign w:val="top"/>
                </w:tcPr>
                <w:p>
                  <w:pPr>
                    <w:jc w:val="both"/>
                  </w:pPr>
                  <w:r>
                    <w:rPr>
                      <w:sz w:val="24"/>
                    </w:rPr>
                    <w:t>1.以次氯酸钠为主要有效成分的消毒液，有效氯含量为4.0%-4.99%（W/V）。</w:t>
                  </w:r>
                </w:p>
                <w:p>
                  <w:pPr>
                    <w:jc w:val="both"/>
                  </w:pPr>
                  <w:r>
                    <w:rPr>
                      <w:sz w:val="24"/>
                    </w:rPr>
                    <w:t>2.可杀灭肠道致病菌、化脓性球菌。</w:t>
                  </w:r>
                </w:p>
                <w:p>
                  <w:pPr>
                    <w:jc w:val="both"/>
                  </w:pPr>
                  <w:r>
                    <w:rPr>
                      <w:sz w:val="24"/>
                    </w:rPr>
                    <w:t>3.适用于一般物体表面、织物的消毒。</w:t>
                  </w:r>
                </w:p>
                <w:p>
                  <w:pPr>
                    <w:jc w:val="both"/>
                  </w:pPr>
                  <w:r>
                    <w:rPr>
                      <w:sz w:val="24"/>
                    </w:rPr>
                    <w:t>4.规格为500ml/瓶。</w:t>
                  </w:r>
                </w:p>
                <w:p>
                  <w:pPr>
                    <w:jc w:val="both"/>
                  </w:pPr>
                  <w:r>
                    <w:rPr>
                      <w:sz w:val="24"/>
                    </w:rPr>
                    <w:t>5.产品有效期≥1年。</w:t>
                  </w:r>
                </w:p>
                <w:p>
                  <w:pPr>
                    <w:jc w:val="both"/>
                  </w:pPr>
                  <w:r>
                    <w:rPr>
                      <w:sz w:val="24"/>
                    </w:rPr>
                    <w:t>6.外包装应整洁、完好，无破损、无涉漏。</w:t>
                  </w:r>
                </w:p>
              </w:tc>
              <w:tc>
                <w:tcPr>
                  <w:tcW w:type="dxa" w:w="387"/>
                  <w:tcBorders>
                    <w:top w:val="none" w:color="000000" w:sz="4"/>
                    <w:left w:val="none" w:color="000000" w:sz="4"/>
                    <w:bottom w:val="single" w:color="000000" w:sz="4"/>
                    <w:right w:val="single" w:color="000000" w:sz="4"/>
                  </w:tcBorders>
                  <w:vAlign w:val="top"/>
                </w:tcPr>
                <w:p>
                  <w:pPr>
                    <w:jc w:val="center"/>
                  </w:pPr>
                  <w:r>
                    <w:rPr>
                      <w:sz w:val="24"/>
                    </w:rPr>
                    <w:t>升</w:t>
                  </w:r>
                </w:p>
              </w:tc>
              <w:tc>
                <w:tcPr>
                  <w:tcW w:type="dxa" w:w="832"/>
                  <w:tcBorders>
                    <w:top w:val="none" w:color="000000" w:sz="4"/>
                    <w:left w:val="none" w:color="000000" w:sz="4"/>
                    <w:bottom w:val="single" w:color="000000" w:sz="4"/>
                    <w:right w:val="single" w:color="000000" w:sz="4"/>
                  </w:tcBorders>
                  <w:vAlign w:val="top"/>
                </w:tcPr>
                <w:p>
                  <w:pPr>
                    <w:jc w:val="center"/>
                  </w:pPr>
                  <w:r>
                    <w:rPr>
                      <w:sz w:val="24"/>
                    </w:rPr>
                    <w:t>900</w:t>
                  </w:r>
                </w:p>
              </w:tc>
              <w:tc>
                <w:tcPr>
                  <w:tcW w:type="dxa" w:w="376"/>
                  <w:tcBorders>
                    <w:top w:val="none" w:color="000000" w:sz="4"/>
                    <w:left w:val="none" w:color="000000" w:sz="4"/>
                    <w:bottom w:val="single" w:color="000000" w:sz="4"/>
                    <w:right w:val="single" w:color="000000" w:sz="4"/>
                  </w:tcBorders>
                  <w:vAlign w:val="top"/>
                </w:tcPr>
                <w:p>
                  <w:pPr>
                    <w:jc w:val="center"/>
                  </w:pP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13</w:t>
                  </w:r>
                </w:p>
              </w:tc>
              <w:tc>
                <w:tcPr>
                  <w:tcW w:type="dxa" w:w="353"/>
                  <w:vMerge/>
                  <w:tcBorders>
                    <w:top w:val="none" w:color="000000" w:sz="4"/>
                    <w:left w:val="none" w:color="000000" w:sz="4"/>
                    <w:bottom w:val="single" w:color="000000" w:sz="4"/>
                    <w:right w:val="single" w:color="000000" w:sz="4"/>
                  </w:tcBorders>
                </w:tcPr>
                <w:p/>
              </w:tc>
              <w:tc>
                <w:tcPr>
                  <w:tcW w:type="dxa" w:w="570"/>
                  <w:tcBorders>
                    <w:top w:val="none" w:color="000000" w:sz="4"/>
                    <w:left w:val="none" w:color="000000" w:sz="4"/>
                    <w:bottom w:val="single" w:color="000000" w:sz="4"/>
                    <w:right w:val="single" w:color="000000" w:sz="4"/>
                  </w:tcBorders>
                  <w:vAlign w:val="top"/>
                </w:tcPr>
                <w:p>
                  <w:pPr>
                    <w:jc w:val="center"/>
                  </w:pPr>
                  <w:r>
                    <w:rPr>
                      <w:sz w:val="24"/>
                    </w:rPr>
                    <w:t>消毒剂（洗手液）</w:t>
                  </w:r>
                </w:p>
              </w:tc>
              <w:tc>
                <w:tcPr>
                  <w:tcW w:type="dxa" w:w="2667"/>
                  <w:tcBorders>
                    <w:top w:val="none" w:color="000000" w:sz="4"/>
                    <w:left w:val="none" w:color="000000" w:sz="4"/>
                    <w:bottom w:val="single" w:color="000000" w:sz="4"/>
                    <w:right w:val="single" w:color="000000" w:sz="4"/>
                  </w:tcBorders>
                  <w:vAlign w:val="top"/>
                </w:tcPr>
                <w:p>
                  <w:pPr>
                    <w:jc w:val="both"/>
                  </w:pPr>
                  <w:r>
                    <w:rPr>
                      <w:sz w:val="24"/>
                    </w:rPr>
                    <w:t>1.符合消毒技术规范标准要求。</w:t>
                  </w:r>
                </w:p>
                <w:p>
                  <w:pPr>
                    <w:jc w:val="both"/>
                  </w:pPr>
                  <w:r>
                    <w:rPr>
                      <w:sz w:val="24"/>
                    </w:rPr>
                    <w:t>2.产品以乙醇和葡萄糖酸氯己定为杀菌成分，乙醇含量为54%-66%(w/w)，葡萄糖酸氯己定含量为0.9%-1.1%(w/w)。</w:t>
                  </w:r>
                </w:p>
                <w:p>
                  <w:pPr>
                    <w:jc w:val="both"/>
                  </w:pPr>
                  <w:r>
                    <w:rPr>
                      <w:sz w:val="24"/>
                    </w:rPr>
                    <w:t>3.PH为6-8。</w:t>
                  </w:r>
                </w:p>
                <w:p>
                  <w:pPr>
                    <w:jc w:val="both"/>
                  </w:pPr>
                  <w:r>
                    <w:rPr>
                      <w:sz w:val="24"/>
                    </w:rPr>
                    <w:t>4.作用时间1min，对大肠杆菌和金黄色葡萄球菌的杀灭对数值＞5。</w:t>
                  </w:r>
                </w:p>
                <w:p>
                  <w:pPr>
                    <w:jc w:val="both"/>
                  </w:pPr>
                  <w:r>
                    <w:rPr>
                      <w:sz w:val="24"/>
                    </w:rPr>
                    <w:t>5.本产品应为≥500ml/瓶。</w:t>
                  </w:r>
                </w:p>
                <w:p>
                  <w:pPr>
                    <w:jc w:val="both"/>
                  </w:pPr>
                  <w:r>
                    <w:rPr>
                      <w:sz w:val="24"/>
                    </w:rPr>
                    <w:t>6.产品有效期≥2年。</w:t>
                  </w:r>
                </w:p>
                <w:p>
                  <w:pPr>
                    <w:jc w:val="both"/>
                  </w:pPr>
                  <w:r>
                    <w:rPr>
                      <w:sz w:val="24"/>
                    </w:rPr>
                    <w:t>7.外包装应整洁、形状完好，无破损、无涉漏。</w:t>
                  </w:r>
                </w:p>
              </w:tc>
              <w:tc>
                <w:tcPr>
                  <w:tcW w:type="dxa" w:w="387"/>
                  <w:tcBorders>
                    <w:top w:val="none" w:color="000000" w:sz="4"/>
                    <w:left w:val="none" w:color="000000" w:sz="4"/>
                    <w:bottom w:val="single" w:color="000000" w:sz="4"/>
                    <w:right w:val="single" w:color="000000" w:sz="4"/>
                  </w:tcBorders>
                  <w:vAlign w:val="top"/>
                </w:tcPr>
                <w:p>
                  <w:pPr>
                    <w:jc w:val="center"/>
                  </w:pPr>
                  <w:r>
                    <w:rPr>
                      <w:sz w:val="24"/>
                    </w:rPr>
                    <w:t>瓶</w:t>
                  </w:r>
                </w:p>
              </w:tc>
              <w:tc>
                <w:tcPr>
                  <w:tcW w:type="dxa" w:w="832"/>
                  <w:tcBorders>
                    <w:top w:val="none" w:color="000000" w:sz="4"/>
                    <w:left w:val="none" w:color="000000" w:sz="4"/>
                    <w:bottom w:val="single" w:color="000000" w:sz="4"/>
                    <w:right w:val="single" w:color="000000" w:sz="4"/>
                  </w:tcBorders>
                  <w:vAlign w:val="top"/>
                </w:tcPr>
                <w:p>
                  <w:pPr>
                    <w:jc w:val="center"/>
                  </w:pPr>
                  <w:r>
                    <w:rPr>
                      <w:sz w:val="24"/>
                    </w:rPr>
                    <w:t>5000</w:t>
                  </w:r>
                </w:p>
              </w:tc>
              <w:tc>
                <w:tcPr>
                  <w:tcW w:type="dxa" w:w="376"/>
                  <w:tcBorders>
                    <w:top w:val="none" w:color="000000" w:sz="4"/>
                    <w:left w:val="none" w:color="000000" w:sz="4"/>
                    <w:bottom w:val="single" w:color="000000" w:sz="4"/>
                    <w:right w:val="single" w:color="000000" w:sz="4"/>
                  </w:tcBorders>
                  <w:vAlign w:val="top"/>
                </w:tcPr>
                <w:p>
                  <w:pPr>
                    <w:jc w:val="center"/>
                  </w:pP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14</w:t>
                  </w:r>
                </w:p>
              </w:tc>
              <w:tc>
                <w:tcPr>
                  <w:tcW w:type="dxa" w:w="353"/>
                  <w:vMerge w:val="restart"/>
                  <w:tcBorders>
                    <w:top w:val="none" w:color="000000" w:sz="4"/>
                    <w:left w:val="none" w:color="000000" w:sz="4"/>
                    <w:bottom w:val="single" w:color="000000" w:sz="4"/>
                    <w:right w:val="single" w:color="000000" w:sz="4"/>
                  </w:tcBorders>
                  <w:vAlign w:val="top"/>
                </w:tcPr>
                <w:p>
                  <w:pPr>
                    <w:jc w:val="center"/>
                  </w:pPr>
                  <w:r>
                    <w:rPr>
                      <w:sz w:val="24"/>
                    </w:rPr>
                    <w:t>消杀器械</w:t>
                  </w:r>
                </w:p>
              </w:tc>
              <w:tc>
                <w:tcPr>
                  <w:tcW w:type="dxa" w:w="570"/>
                  <w:tcBorders>
                    <w:top w:val="none" w:color="000000" w:sz="4"/>
                    <w:left w:val="none" w:color="000000" w:sz="4"/>
                    <w:bottom w:val="single" w:color="000000" w:sz="4"/>
                    <w:right w:val="single" w:color="000000" w:sz="4"/>
                  </w:tcBorders>
                  <w:vAlign w:val="top"/>
                </w:tcPr>
                <w:p>
                  <w:pPr>
                    <w:jc w:val="center"/>
                  </w:pPr>
                  <w:r>
                    <w:rPr>
                      <w:sz w:val="24"/>
                    </w:rPr>
                    <w:t>喷雾器</w:t>
                  </w:r>
                </w:p>
              </w:tc>
              <w:tc>
                <w:tcPr>
                  <w:tcW w:type="dxa" w:w="2667"/>
                  <w:tcBorders>
                    <w:top w:val="none" w:color="000000" w:sz="4"/>
                    <w:left w:val="none" w:color="000000" w:sz="4"/>
                    <w:bottom w:val="single" w:color="000000" w:sz="4"/>
                    <w:right w:val="single" w:color="000000" w:sz="4"/>
                  </w:tcBorders>
                  <w:vAlign w:val="top"/>
                </w:tcPr>
                <w:p>
                  <w:pPr>
                    <w:jc w:val="both"/>
                  </w:pPr>
                  <w:r>
                    <w:rPr>
                      <w:sz w:val="24"/>
                    </w:rPr>
                    <w:t>1.容量：不少于20L。</w:t>
                  </w:r>
                </w:p>
                <w:p>
                  <w:pPr>
                    <w:jc w:val="both"/>
                  </w:pPr>
                  <w:r>
                    <w:rPr>
                      <w:sz w:val="24"/>
                    </w:rPr>
                    <w:t>2.外观样式：背负式，充电，电动，高压，可更换喷头。</w:t>
                  </w:r>
                </w:p>
                <w:p>
                  <w:pPr>
                    <w:jc w:val="both"/>
                  </w:pPr>
                  <w:r>
                    <w:rPr>
                      <w:sz w:val="24"/>
                    </w:rPr>
                    <w:t>3.材质：耐压防渗漏（PP，PE塑料）。</w:t>
                  </w:r>
                </w:p>
                <w:p>
                  <w:pPr>
                    <w:jc w:val="both"/>
                  </w:pPr>
                  <w:r>
                    <w:rPr>
                      <w:sz w:val="24"/>
                    </w:rPr>
                    <w:t>4.电池：锂电池。</w:t>
                  </w:r>
                </w:p>
                <w:p>
                  <w:pPr>
                    <w:jc w:val="both"/>
                  </w:pPr>
                  <w:r>
                    <w:rPr>
                      <w:sz w:val="24"/>
                    </w:rPr>
                    <w:t>5.水泵：铜芯电机高压泵。</w:t>
                  </w:r>
                </w:p>
                <w:p>
                  <w:pPr>
                    <w:jc w:val="both"/>
                  </w:pPr>
                  <w:r>
                    <w:rPr>
                      <w:sz w:val="24"/>
                    </w:rPr>
                    <w:t>6.可实现喷雾速度调节。</w:t>
                  </w:r>
                </w:p>
                <w:p>
                  <w:pPr>
                    <w:jc w:val="both"/>
                  </w:pPr>
                  <w:r>
                    <w:rPr>
                      <w:sz w:val="24"/>
                    </w:rPr>
                    <w:t>7.外包装应形状完好，无破损。</w:t>
                  </w:r>
                </w:p>
              </w:tc>
              <w:tc>
                <w:tcPr>
                  <w:tcW w:type="dxa" w:w="387"/>
                  <w:tcBorders>
                    <w:top w:val="none" w:color="000000" w:sz="4"/>
                    <w:left w:val="none" w:color="000000" w:sz="4"/>
                    <w:bottom w:val="single" w:color="000000" w:sz="4"/>
                    <w:right w:val="single" w:color="000000" w:sz="4"/>
                  </w:tcBorders>
                  <w:vAlign w:val="top"/>
                </w:tcPr>
                <w:p>
                  <w:pPr>
                    <w:jc w:val="center"/>
                  </w:pPr>
                  <w:r>
                    <w:rPr>
                      <w:color w:val="000000"/>
                      <w:sz w:val="24"/>
                    </w:rPr>
                    <w:t>台</w:t>
                  </w:r>
                </w:p>
              </w:tc>
              <w:tc>
                <w:tcPr>
                  <w:tcW w:type="dxa" w:w="832"/>
                  <w:tcBorders>
                    <w:top w:val="none" w:color="000000" w:sz="4"/>
                    <w:left w:val="none" w:color="000000" w:sz="4"/>
                    <w:bottom w:val="single" w:color="000000" w:sz="4"/>
                    <w:right w:val="single" w:color="000000" w:sz="4"/>
                  </w:tcBorders>
                  <w:vAlign w:val="top"/>
                </w:tcPr>
                <w:p>
                  <w:pPr>
                    <w:jc w:val="center"/>
                  </w:pPr>
                  <w:r>
                    <w:rPr>
                      <w:color w:val="000000"/>
                      <w:sz w:val="24"/>
                    </w:rPr>
                    <w:t>15</w:t>
                  </w:r>
                </w:p>
              </w:tc>
              <w:tc>
                <w:tcPr>
                  <w:tcW w:type="dxa" w:w="376"/>
                  <w:tcBorders>
                    <w:top w:val="none" w:color="000000" w:sz="4"/>
                    <w:left w:val="none" w:color="000000" w:sz="4"/>
                    <w:bottom w:val="single" w:color="000000" w:sz="4"/>
                    <w:right w:val="single" w:color="000000" w:sz="4"/>
                  </w:tcBorders>
                  <w:vAlign w:val="top"/>
                </w:tcPr>
                <w:p>
                  <w:pPr>
                    <w:jc w:val="center"/>
                  </w:pPr>
                  <w:r>
                    <w:rPr>
                      <w:color w:val="000000"/>
                      <w:sz w:val="24"/>
                    </w:rPr>
                    <w:t>3C认证</w:t>
                  </w: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15</w:t>
                  </w:r>
                </w:p>
              </w:tc>
              <w:tc>
                <w:tcPr>
                  <w:tcW w:type="dxa" w:w="353"/>
                  <w:vMerge/>
                  <w:tcBorders>
                    <w:top w:val="none" w:color="000000" w:sz="4"/>
                    <w:left w:val="none" w:color="000000" w:sz="4"/>
                    <w:bottom w:val="single" w:color="000000" w:sz="4"/>
                    <w:right w:val="single" w:color="000000" w:sz="4"/>
                  </w:tcBorders>
                </w:tcPr>
                <w:p/>
              </w:tc>
              <w:tc>
                <w:tcPr>
                  <w:tcW w:type="dxa" w:w="570"/>
                  <w:tcBorders>
                    <w:top w:val="none" w:color="000000" w:sz="4"/>
                    <w:left w:val="none" w:color="000000" w:sz="4"/>
                    <w:bottom w:val="single" w:color="000000" w:sz="4"/>
                    <w:right w:val="single" w:color="000000" w:sz="4"/>
                  </w:tcBorders>
                  <w:vAlign w:val="top"/>
                </w:tcPr>
                <w:p>
                  <w:pPr>
                    <w:jc w:val="center"/>
                  </w:pPr>
                  <w:r>
                    <w:rPr>
                      <w:sz w:val="24"/>
                    </w:rPr>
                    <w:t>喷壶</w:t>
                  </w:r>
                </w:p>
              </w:tc>
              <w:tc>
                <w:tcPr>
                  <w:tcW w:type="dxa" w:w="2667"/>
                  <w:tcBorders>
                    <w:top w:val="none" w:color="000000" w:sz="4"/>
                    <w:left w:val="none" w:color="000000" w:sz="4"/>
                    <w:bottom w:val="single" w:color="000000" w:sz="4"/>
                    <w:right w:val="single" w:color="000000" w:sz="4"/>
                  </w:tcBorders>
                  <w:vAlign w:val="top"/>
                </w:tcPr>
                <w:p>
                  <w:pPr>
                    <w:jc w:val="both"/>
                  </w:pPr>
                  <w:r>
                    <w:rPr>
                      <w:sz w:val="24"/>
                    </w:rPr>
                    <w:t>1.喷壶为加压喷射型喷壶。</w:t>
                  </w:r>
                </w:p>
                <w:p>
                  <w:pPr>
                    <w:jc w:val="both"/>
                  </w:pPr>
                  <w:r>
                    <w:rPr>
                      <w:sz w:val="24"/>
                    </w:rPr>
                    <w:t>2.壶嘴要具备可调节的旋钮用于调整喷射水流或者喷雾。</w:t>
                  </w:r>
                </w:p>
                <w:p>
                  <w:pPr>
                    <w:jc w:val="both"/>
                  </w:pPr>
                  <w:r>
                    <w:rPr>
                      <w:sz w:val="24"/>
                    </w:rPr>
                    <w:t>3.壶体容量为≥2L，并且有明显的刻度。</w:t>
                  </w:r>
                </w:p>
                <w:p>
                  <w:pPr>
                    <w:jc w:val="both"/>
                  </w:pPr>
                  <w:r>
                    <w:rPr>
                      <w:sz w:val="24"/>
                    </w:rPr>
                    <w:t>4.外观应形状完好，无破损。</w:t>
                  </w:r>
                </w:p>
              </w:tc>
              <w:tc>
                <w:tcPr>
                  <w:tcW w:type="dxa" w:w="387"/>
                  <w:tcBorders>
                    <w:top w:val="none" w:color="000000" w:sz="4"/>
                    <w:left w:val="none" w:color="000000" w:sz="4"/>
                    <w:bottom w:val="single" w:color="000000" w:sz="4"/>
                    <w:right w:val="single" w:color="000000" w:sz="4"/>
                  </w:tcBorders>
                  <w:vAlign w:val="top"/>
                </w:tcPr>
                <w:p>
                  <w:pPr>
                    <w:jc w:val="center"/>
                  </w:pPr>
                  <w:r>
                    <w:rPr>
                      <w:color w:val="000000"/>
                      <w:sz w:val="24"/>
                    </w:rPr>
                    <w:t>个</w:t>
                  </w:r>
                </w:p>
              </w:tc>
              <w:tc>
                <w:tcPr>
                  <w:tcW w:type="dxa" w:w="832"/>
                  <w:tcBorders>
                    <w:top w:val="none" w:color="000000" w:sz="4"/>
                    <w:left w:val="none" w:color="000000" w:sz="4"/>
                    <w:bottom w:val="single" w:color="000000" w:sz="4"/>
                    <w:right w:val="single" w:color="000000" w:sz="4"/>
                  </w:tcBorders>
                  <w:vAlign w:val="top"/>
                </w:tcPr>
                <w:p>
                  <w:pPr>
                    <w:jc w:val="center"/>
                  </w:pPr>
                  <w:r>
                    <w:rPr>
                      <w:color w:val="000000"/>
                      <w:sz w:val="24"/>
                    </w:rPr>
                    <w:t>132</w:t>
                  </w:r>
                </w:p>
              </w:tc>
              <w:tc>
                <w:tcPr>
                  <w:tcW w:type="dxa" w:w="376"/>
                  <w:tcBorders>
                    <w:top w:val="none" w:color="000000" w:sz="4"/>
                    <w:left w:val="none" w:color="000000" w:sz="4"/>
                    <w:bottom w:val="single" w:color="000000" w:sz="4"/>
                    <w:right w:val="single" w:color="000000" w:sz="4"/>
                  </w:tcBorders>
                  <w:vAlign w:val="top"/>
                </w:tcPr>
                <w:p>
                  <w:pPr>
                    <w:jc w:val="center"/>
                  </w:pP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16</w:t>
                  </w:r>
                </w:p>
              </w:tc>
              <w:tc>
                <w:tcPr>
                  <w:tcW w:type="dxa" w:w="353"/>
                  <w:vMerge/>
                  <w:tcBorders>
                    <w:top w:val="none" w:color="000000" w:sz="4"/>
                    <w:left w:val="none" w:color="000000" w:sz="4"/>
                    <w:bottom w:val="single" w:color="000000" w:sz="4"/>
                    <w:right w:val="single" w:color="000000" w:sz="4"/>
                  </w:tcBorders>
                </w:tcPr>
                <w:p/>
              </w:tc>
              <w:tc>
                <w:tcPr>
                  <w:tcW w:type="dxa" w:w="570"/>
                  <w:tcBorders>
                    <w:top w:val="none" w:color="000000" w:sz="4"/>
                    <w:left w:val="none" w:color="000000" w:sz="4"/>
                    <w:bottom w:val="single" w:color="000000" w:sz="4"/>
                    <w:right w:val="single" w:color="000000" w:sz="4"/>
                  </w:tcBorders>
                  <w:vAlign w:val="top"/>
                </w:tcPr>
                <w:p>
                  <w:pPr>
                    <w:jc w:val="center"/>
                  </w:pPr>
                  <w:r>
                    <w:rPr>
                      <w:sz w:val="24"/>
                    </w:rPr>
                    <w:t>移动紫外线灯</w:t>
                  </w:r>
                </w:p>
              </w:tc>
              <w:tc>
                <w:tcPr>
                  <w:tcW w:type="dxa" w:w="2667"/>
                  <w:tcBorders>
                    <w:top w:val="none" w:color="000000" w:sz="4"/>
                    <w:left w:val="none" w:color="000000" w:sz="4"/>
                    <w:bottom w:val="single" w:color="000000" w:sz="4"/>
                    <w:right w:val="single" w:color="000000" w:sz="4"/>
                  </w:tcBorders>
                  <w:vAlign w:val="top"/>
                </w:tcPr>
                <w:p>
                  <w:pPr>
                    <w:jc w:val="both"/>
                  </w:pPr>
                  <w:r>
                    <w:rPr>
                      <w:sz w:val="24"/>
                    </w:rPr>
                    <w:t>1．适用房间体积：≧30m³。</w:t>
                  </w:r>
                </w:p>
                <w:p>
                  <w:pPr>
                    <w:jc w:val="both"/>
                  </w:pPr>
                  <w:r>
                    <w:rPr>
                      <w:sz w:val="24"/>
                    </w:rPr>
                    <w:t>2．电源：交流220V±22V，频率50HZ±1HZ。</w:t>
                  </w:r>
                </w:p>
                <w:p>
                  <w:pPr>
                    <w:jc w:val="both"/>
                  </w:pPr>
                  <w:r>
                    <w:rPr>
                      <w:sz w:val="24"/>
                    </w:rPr>
                    <w:t>3．输入功率：约80VA。</w:t>
                  </w:r>
                </w:p>
                <w:p>
                  <w:pPr>
                    <w:jc w:val="both"/>
                  </w:pPr>
                  <w:r>
                    <w:rPr>
                      <w:sz w:val="24"/>
                    </w:rPr>
                    <w:t>4．灯管功率：30W×2。</w:t>
                  </w:r>
                </w:p>
                <w:p>
                  <w:pPr>
                    <w:jc w:val="both"/>
                  </w:pPr>
                  <w:r>
                    <w:rPr>
                      <w:sz w:val="24"/>
                    </w:rPr>
                    <w:t>5．单只灯管照射强度：≥100μw/cm2。</w:t>
                  </w:r>
                </w:p>
                <w:p>
                  <w:pPr>
                    <w:jc w:val="both"/>
                  </w:pPr>
                  <w:r>
                    <w:rPr>
                      <w:sz w:val="24"/>
                    </w:rPr>
                    <w:t>6．灯管有效杀菌寿命≥1000小时。</w:t>
                  </w:r>
                </w:p>
                <w:p>
                  <w:pPr>
                    <w:jc w:val="both"/>
                  </w:pPr>
                  <w:r>
                    <w:rPr>
                      <w:sz w:val="24"/>
                    </w:rPr>
                    <w:t>7．紫外线消毒车可移动折叠、灯管可内藏、可调角度0-180°</w:t>
                  </w:r>
                </w:p>
                <w:p>
                  <w:pPr>
                    <w:jc w:val="both"/>
                  </w:pPr>
                  <w:r>
                    <w:rPr>
                      <w:sz w:val="24"/>
                    </w:rPr>
                    <w:t>8．带定时装置，定时范围为0-120分钟。</w:t>
                  </w:r>
                </w:p>
                <w:p>
                  <w:pPr>
                    <w:jc w:val="both"/>
                  </w:pPr>
                  <w:r>
                    <w:rPr>
                      <w:sz w:val="24"/>
                    </w:rPr>
                    <w:t>9.在空气消毒效果试验中，对白色念珠菌的杀灭率＞99.9%。</w:t>
                  </w:r>
                </w:p>
                <w:p>
                  <w:pPr>
                    <w:jc w:val="both"/>
                  </w:pPr>
                  <w:r>
                    <w:rPr>
                      <w:sz w:val="24"/>
                    </w:rPr>
                    <w:t>10．脚轮移动，灯管采用“左右式”双灯管结构以增加紫外线照射面积，双灯管也可单独使用。</w:t>
                  </w:r>
                </w:p>
                <w:p>
                  <w:pPr>
                    <w:jc w:val="both"/>
                  </w:pPr>
                  <w:r>
                    <w:rPr>
                      <w:sz w:val="24"/>
                    </w:rPr>
                    <w:t>11．灯臂长度约950mm，灯车高度约1065mm，灯臂展开整机高度2米左右。</w:t>
                  </w:r>
                </w:p>
              </w:tc>
              <w:tc>
                <w:tcPr>
                  <w:tcW w:type="dxa" w:w="387"/>
                  <w:tcBorders>
                    <w:top w:val="none" w:color="000000" w:sz="4"/>
                    <w:left w:val="none" w:color="000000" w:sz="4"/>
                    <w:bottom w:val="single" w:color="000000" w:sz="4"/>
                    <w:right w:val="single" w:color="000000" w:sz="4"/>
                  </w:tcBorders>
                  <w:vAlign w:val="top"/>
                </w:tcPr>
                <w:p>
                  <w:pPr>
                    <w:jc w:val="center"/>
                  </w:pPr>
                  <w:r>
                    <w:rPr>
                      <w:color w:val="000000"/>
                      <w:sz w:val="24"/>
                    </w:rPr>
                    <w:t>台</w:t>
                  </w:r>
                </w:p>
              </w:tc>
              <w:tc>
                <w:tcPr>
                  <w:tcW w:type="dxa" w:w="832"/>
                  <w:tcBorders>
                    <w:top w:val="none" w:color="000000" w:sz="4"/>
                    <w:left w:val="none" w:color="000000" w:sz="4"/>
                    <w:bottom w:val="single" w:color="000000" w:sz="4"/>
                    <w:right w:val="single" w:color="000000" w:sz="4"/>
                  </w:tcBorders>
                  <w:vAlign w:val="top"/>
                </w:tcPr>
                <w:p>
                  <w:pPr>
                    <w:jc w:val="center"/>
                  </w:pPr>
                  <w:r>
                    <w:rPr>
                      <w:color w:val="000000"/>
                      <w:sz w:val="24"/>
                    </w:rPr>
                    <w:t>132</w:t>
                  </w:r>
                </w:p>
              </w:tc>
              <w:tc>
                <w:tcPr>
                  <w:tcW w:type="dxa" w:w="376"/>
                  <w:tcBorders>
                    <w:top w:val="none" w:color="000000" w:sz="4"/>
                    <w:left w:val="none" w:color="000000" w:sz="4"/>
                    <w:bottom w:val="single" w:color="000000" w:sz="4"/>
                    <w:right w:val="single" w:color="000000" w:sz="4"/>
                  </w:tcBorders>
                  <w:vAlign w:val="top"/>
                </w:tcPr>
                <w:p>
                  <w:pPr>
                    <w:jc w:val="center"/>
                  </w:pP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17</w:t>
                  </w:r>
                </w:p>
              </w:tc>
              <w:tc>
                <w:tcPr>
                  <w:tcW w:type="dxa" w:w="353"/>
                  <w:vMerge/>
                  <w:tcBorders>
                    <w:top w:val="none" w:color="000000" w:sz="4"/>
                    <w:left w:val="none" w:color="000000" w:sz="4"/>
                    <w:bottom w:val="single" w:color="000000" w:sz="4"/>
                    <w:right w:val="single" w:color="000000" w:sz="4"/>
                  </w:tcBorders>
                </w:tcPr>
                <w:p/>
              </w:tc>
              <w:tc>
                <w:tcPr>
                  <w:tcW w:type="dxa" w:w="570"/>
                  <w:tcBorders>
                    <w:top w:val="none" w:color="000000" w:sz="4"/>
                    <w:left w:val="none" w:color="000000" w:sz="4"/>
                    <w:bottom w:val="single" w:color="000000" w:sz="4"/>
                    <w:right w:val="single" w:color="000000" w:sz="4"/>
                  </w:tcBorders>
                  <w:vAlign w:val="top"/>
                </w:tcPr>
                <w:p>
                  <w:pPr>
                    <w:jc w:val="center"/>
                  </w:pPr>
                  <w:r>
                    <w:rPr>
                      <w:sz w:val="24"/>
                    </w:rPr>
                    <w:t>移动空气消毒机</w:t>
                  </w:r>
                </w:p>
              </w:tc>
              <w:tc>
                <w:tcPr>
                  <w:tcW w:type="dxa" w:w="2667"/>
                  <w:tcBorders>
                    <w:top w:val="none" w:color="000000" w:sz="4"/>
                    <w:left w:val="none" w:color="000000" w:sz="4"/>
                    <w:bottom w:val="single" w:color="000000" w:sz="4"/>
                    <w:right w:val="single" w:color="000000" w:sz="4"/>
                  </w:tcBorders>
                  <w:vAlign w:val="top"/>
                </w:tcPr>
                <w:p>
                  <w:pPr>
                    <w:jc w:val="both"/>
                  </w:pPr>
                  <w:r>
                    <w:rPr>
                      <w:sz w:val="24"/>
                    </w:rPr>
                    <w:t>1.设备主要用于对室内的空气进行净化与消毒处理。</w:t>
                  </w:r>
                </w:p>
                <w:p>
                  <w:pPr>
                    <w:jc w:val="both"/>
                  </w:pPr>
                  <w:r>
                    <w:rPr>
                      <w:sz w:val="24"/>
                    </w:rPr>
                    <w:t>2.符合标准GB 28235-2020。</w:t>
                  </w:r>
                </w:p>
                <w:p>
                  <w:pPr>
                    <w:jc w:val="both"/>
                  </w:pPr>
                  <w:r>
                    <w:rPr>
                      <w:sz w:val="24"/>
                    </w:rPr>
                    <w:t>3.设备能通过指示灯、大尺寸液晶LCD显示屏（显示尺寸不小于W90mm×H50mm）。</w:t>
                  </w:r>
                </w:p>
                <w:p>
                  <w:pPr>
                    <w:jc w:val="both"/>
                  </w:pPr>
                  <w:r>
                    <w:rPr>
                      <w:sz w:val="24"/>
                    </w:rPr>
                    <w:t>4.紫外线灯管寿命≥8000小时。</w:t>
                  </w:r>
                </w:p>
                <w:p>
                  <w:pPr>
                    <w:jc w:val="both"/>
                  </w:pPr>
                  <w:r>
                    <w:rPr>
                      <w:sz w:val="24"/>
                    </w:rPr>
                    <w:t>5.适用体积（m</w:t>
                  </w:r>
                  <w:r>
                    <w:rPr>
                      <w:sz w:val="24"/>
                    </w:rPr>
                    <w:t>³</w:t>
                  </w:r>
                  <w:r>
                    <w:rPr>
                      <w:sz w:val="24"/>
                    </w:rPr>
                    <w:t>）约</w:t>
                  </w:r>
                  <w:r>
                    <w:rPr>
                      <w:sz w:val="24"/>
                    </w:rPr>
                    <w:t>120。</w:t>
                  </w:r>
                </w:p>
                <w:p>
                  <w:pPr>
                    <w:jc w:val="both"/>
                  </w:pPr>
                  <w:r>
                    <w:rPr>
                      <w:sz w:val="24"/>
                    </w:rPr>
                    <w:t>6.消毒效果：设备持续工作2小时，对白色葡萄球菌（8032）的杀灭率≥99.90%，对空气中自然菌的消亡率≥90.00%。</w:t>
                  </w:r>
                </w:p>
                <w:p>
                  <w:pPr>
                    <w:jc w:val="both"/>
                  </w:pPr>
                  <w:r>
                    <w:rPr>
                      <w:sz w:val="24"/>
                    </w:rPr>
                    <w:t>7.循环风量（m3/h）≥150。</w:t>
                  </w:r>
                </w:p>
                <w:p>
                  <w:pPr>
                    <w:jc w:val="both"/>
                  </w:pPr>
                  <w:r>
                    <w:rPr>
                      <w:sz w:val="24"/>
                    </w:rPr>
                    <w:t>8.工作模式：支持手动模式、自动模式、定时程控模式。</w:t>
                  </w:r>
                </w:p>
              </w:tc>
              <w:tc>
                <w:tcPr>
                  <w:tcW w:type="dxa" w:w="387"/>
                  <w:tcBorders>
                    <w:top w:val="none" w:color="000000" w:sz="4"/>
                    <w:left w:val="none" w:color="000000" w:sz="4"/>
                    <w:bottom w:val="single" w:color="000000" w:sz="4"/>
                    <w:right w:val="single" w:color="000000" w:sz="4"/>
                  </w:tcBorders>
                  <w:vAlign w:val="top"/>
                </w:tcPr>
                <w:p>
                  <w:pPr>
                    <w:jc w:val="center"/>
                  </w:pPr>
                  <w:r>
                    <w:rPr>
                      <w:color w:val="000000"/>
                      <w:sz w:val="24"/>
                    </w:rPr>
                    <w:t>台</w:t>
                  </w:r>
                </w:p>
              </w:tc>
              <w:tc>
                <w:tcPr>
                  <w:tcW w:type="dxa" w:w="832"/>
                  <w:tcBorders>
                    <w:top w:val="none" w:color="000000" w:sz="4"/>
                    <w:left w:val="none" w:color="000000" w:sz="4"/>
                    <w:bottom w:val="single" w:color="000000" w:sz="4"/>
                    <w:right w:val="single" w:color="000000" w:sz="4"/>
                  </w:tcBorders>
                  <w:vAlign w:val="top"/>
                </w:tcPr>
                <w:p>
                  <w:pPr>
                    <w:jc w:val="center"/>
                  </w:pPr>
                  <w:r>
                    <w:rPr>
                      <w:color w:val="000000"/>
                      <w:sz w:val="24"/>
                    </w:rPr>
                    <w:t>27</w:t>
                  </w:r>
                </w:p>
              </w:tc>
              <w:tc>
                <w:tcPr>
                  <w:tcW w:type="dxa" w:w="376"/>
                  <w:tcBorders>
                    <w:top w:val="none" w:color="000000" w:sz="4"/>
                    <w:left w:val="none" w:color="000000" w:sz="4"/>
                    <w:bottom w:val="single" w:color="000000" w:sz="4"/>
                    <w:right w:val="single" w:color="000000" w:sz="4"/>
                  </w:tcBorders>
                  <w:vAlign w:val="top"/>
                </w:tcPr>
                <w:p>
                  <w:pPr>
                    <w:jc w:val="center"/>
                  </w:pP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18</w:t>
                  </w:r>
                </w:p>
              </w:tc>
              <w:tc>
                <w:tcPr>
                  <w:tcW w:type="dxa" w:w="353"/>
                  <w:vMerge w:val="restart"/>
                  <w:tcBorders>
                    <w:top w:val="none" w:color="000000" w:sz="4"/>
                    <w:left w:val="none" w:color="000000" w:sz="4"/>
                    <w:bottom w:val="single" w:color="000000" w:sz="4"/>
                    <w:right w:val="single" w:color="000000" w:sz="4"/>
                  </w:tcBorders>
                  <w:vAlign w:val="top"/>
                </w:tcPr>
                <w:p>
                  <w:pPr>
                    <w:jc w:val="center"/>
                  </w:pPr>
                  <w:r>
                    <w:rPr>
                      <w:sz w:val="24"/>
                    </w:rPr>
                    <w:t>其他物资</w:t>
                  </w:r>
                </w:p>
              </w:tc>
              <w:tc>
                <w:tcPr>
                  <w:tcW w:type="dxa" w:w="570"/>
                  <w:tcBorders>
                    <w:top w:val="none" w:color="000000" w:sz="4"/>
                    <w:left w:val="none" w:color="000000" w:sz="4"/>
                    <w:bottom w:val="single" w:color="000000" w:sz="4"/>
                    <w:right w:val="single" w:color="000000" w:sz="4"/>
                  </w:tcBorders>
                  <w:vAlign w:val="top"/>
                </w:tcPr>
                <w:p>
                  <w:pPr>
                    <w:jc w:val="center"/>
                  </w:pPr>
                  <w:r>
                    <w:rPr>
                      <w:sz w:val="24"/>
                    </w:rPr>
                    <w:t>医疗垃圾袋加厚（</w:t>
                  </w:r>
                  <w:r>
                    <w:rPr>
                      <w:sz w:val="24"/>
                    </w:rPr>
                    <w:t>70*80cm/50L）</w:t>
                  </w:r>
                </w:p>
              </w:tc>
              <w:tc>
                <w:tcPr>
                  <w:tcW w:type="dxa" w:w="2667"/>
                  <w:tcBorders>
                    <w:top w:val="none" w:color="000000" w:sz="4"/>
                    <w:left w:val="none" w:color="000000" w:sz="4"/>
                    <w:bottom w:val="single" w:color="000000" w:sz="4"/>
                    <w:right w:val="single" w:color="000000" w:sz="4"/>
                  </w:tcBorders>
                  <w:vAlign w:val="top"/>
                </w:tcPr>
                <w:p>
                  <w:pPr>
                    <w:jc w:val="both"/>
                  </w:pPr>
                  <w:r>
                    <w:rPr>
                      <w:sz w:val="24"/>
                    </w:rPr>
                    <w:t>1.袋体材质为聚丙烯材质。</w:t>
                  </w:r>
                </w:p>
                <w:p>
                  <w:pPr>
                    <w:jc w:val="both"/>
                  </w:pPr>
                  <w:r>
                    <w:rPr>
                      <w:sz w:val="24"/>
                    </w:rPr>
                    <w:t>2.加厚设计</w:t>
                  </w:r>
                  <w:r>
                    <w:rPr>
                      <w:sz w:val="24"/>
                    </w:rPr>
                    <w:t>，</w:t>
                  </w:r>
                  <w:r>
                    <w:rPr>
                      <w:sz w:val="24"/>
                    </w:rPr>
                    <w:t>厚度</w:t>
                  </w:r>
                  <w:r>
                    <w:rPr>
                      <w:sz w:val="24"/>
                    </w:rPr>
                    <w:t>≥</w:t>
                  </w:r>
                  <w:r>
                    <w:rPr>
                      <w:sz w:val="24"/>
                    </w:rPr>
                    <w:t>4</w:t>
                  </w:r>
                  <w:r>
                    <w:rPr>
                      <w:sz w:val="24"/>
                    </w:rPr>
                    <w:t>.4</w:t>
                  </w:r>
                  <w:r>
                    <w:rPr>
                      <w:sz w:val="24"/>
                    </w:rPr>
                    <w:t>丝</w:t>
                  </w:r>
                  <w:r>
                    <w:rPr>
                      <w:sz w:val="24"/>
                    </w:rPr>
                    <w:t>。</w:t>
                  </w:r>
                </w:p>
                <w:p>
                  <w:pPr>
                    <w:jc w:val="both"/>
                  </w:pPr>
                  <w:r>
                    <w:rPr>
                      <w:sz w:val="24"/>
                    </w:rPr>
                    <w:t>3.产品尺寸不小于70*80cm/50L。</w:t>
                  </w:r>
                </w:p>
                <w:p>
                  <w:pPr>
                    <w:jc w:val="both"/>
                  </w:pPr>
                  <w:r>
                    <w:rPr>
                      <w:sz w:val="24"/>
                    </w:rPr>
                    <w:t>4.颜色为黄色。</w:t>
                  </w:r>
                </w:p>
                <w:p>
                  <w:pPr>
                    <w:jc w:val="both"/>
                  </w:pPr>
                  <w:r>
                    <w:rPr>
                      <w:sz w:val="24"/>
                    </w:rPr>
                    <w:t>5.产品应印有“医疗废物”警示字样。</w:t>
                  </w:r>
                </w:p>
                <w:p>
                  <w:pPr>
                    <w:jc w:val="both"/>
                  </w:pPr>
                  <w:r>
                    <w:rPr>
                      <w:sz w:val="24"/>
                    </w:rPr>
                    <w:t>6.外观应清洁、无破洞、裂孔等缺陷。</w:t>
                  </w:r>
                </w:p>
              </w:tc>
              <w:tc>
                <w:tcPr>
                  <w:tcW w:type="dxa" w:w="387"/>
                  <w:tcBorders>
                    <w:top w:val="none" w:color="000000" w:sz="4"/>
                    <w:left w:val="none" w:color="000000" w:sz="4"/>
                    <w:bottom w:val="single" w:color="000000" w:sz="4"/>
                    <w:right w:val="single" w:color="000000" w:sz="4"/>
                  </w:tcBorders>
                  <w:vAlign w:val="top"/>
                </w:tcPr>
                <w:p>
                  <w:pPr>
                    <w:jc w:val="center"/>
                  </w:pPr>
                  <w:r>
                    <w:rPr>
                      <w:color w:val="000000"/>
                      <w:sz w:val="24"/>
                    </w:rPr>
                    <w:t>个</w:t>
                  </w:r>
                </w:p>
              </w:tc>
              <w:tc>
                <w:tcPr>
                  <w:tcW w:type="dxa" w:w="832"/>
                  <w:tcBorders>
                    <w:top w:val="none" w:color="000000" w:sz="4"/>
                    <w:left w:val="none" w:color="000000" w:sz="4"/>
                    <w:bottom w:val="single" w:color="000000" w:sz="4"/>
                    <w:right w:val="single" w:color="000000" w:sz="4"/>
                  </w:tcBorders>
                  <w:vAlign w:val="top"/>
                </w:tcPr>
                <w:p>
                  <w:pPr>
                    <w:jc w:val="center"/>
                  </w:pPr>
                  <w:r>
                    <w:rPr>
                      <w:color w:val="000000"/>
                      <w:sz w:val="24"/>
                    </w:rPr>
                    <w:t>9564</w:t>
                  </w:r>
                </w:p>
              </w:tc>
              <w:tc>
                <w:tcPr>
                  <w:tcW w:type="dxa" w:w="376"/>
                  <w:tcBorders>
                    <w:top w:val="none" w:color="000000" w:sz="4"/>
                    <w:left w:val="none" w:color="000000" w:sz="4"/>
                    <w:bottom w:val="single" w:color="000000" w:sz="4"/>
                    <w:right w:val="single" w:color="000000" w:sz="4"/>
                  </w:tcBorders>
                  <w:vAlign w:val="top"/>
                </w:tcPr>
                <w:p>
                  <w:pPr>
                    <w:jc w:val="center"/>
                  </w:pP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19</w:t>
                  </w:r>
                </w:p>
              </w:tc>
              <w:tc>
                <w:tcPr>
                  <w:tcW w:type="dxa" w:w="353"/>
                  <w:vMerge/>
                  <w:tcBorders>
                    <w:top w:val="none" w:color="000000" w:sz="4"/>
                    <w:left w:val="none" w:color="000000" w:sz="4"/>
                    <w:bottom w:val="single" w:color="000000" w:sz="4"/>
                    <w:right w:val="single" w:color="000000" w:sz="4"/>
                  </w:tcBorders>
                </w:tcPr>
                <w:p/>
              </w:tc>
              <w:tc>
                <w:tcPr>
                  <w:tcW w:type="dxa" w:w="570"/>
                  <w:tcBorders>
                    <w:top w:val="none" w:color="000000" w:sz="4"/>
                    <w:left w:val="none" w:color="000000" w:sz="4"/>
                    <w:bottom w:val="single" w:color="000000" w:sz="4"/>
                    <w:right w:val="single" w:color="000000" w:sz="4"/>
                  </w:tcBorders>
                  <w:vAlign w:val="top"/>
                </w:tcPr>
                <w:p>
                  <w:pPr>
                    <w:jc w:val="center"/>
                  </w:pPr>
                  <w:r>
                    <w:rPr>
                      <w:sz w:val="24"/>
                    </w:rPr>
                    <w:t>成人纸尿裤大号（</w:t>
                  </w:r>
                  <w:r>
                    <w:rPr>
                      <w:sz w:val="24"/>
                    </w:rPr>
                    <w:t>10片/包）</w:t>
                  </w:r>
                </w:p>
              </w:tc>
              <w:tc>
                <w:tcPr>
                  <w:tcW w:type="dxa" w:w="2667"/>
                  <w:tcBorders>
                    <w:top w:val="none" w:color="000000" w:sz="4"/>
                    <w:left w:val="none" w:color="000000" w:sz="4"/>
                    <w:bottom w:val="single" w:color="000000" w:sz="4"/>
                    <w:right w:val="single" w:color="000000" w:sz="4"/>
                  </w:tcBorders>
                  <w:vAlign w:val="top"/>
                </w:tcPr>
                <w:p>
                  <w:pPr>
                    <w:jc w:val="both"/>
                  </w:pPr>
                  <w:r>
                    <w:rPr>
                      <w:sz w:val="24"/>
                    </w:rPr>
                    <w:t>（技术要求：</w:t>
                  </w:r>
                  <w:r>
                    <w:rPr>
                      <w:sz w:val="24"/>
                    </w:rPr>
                    <w:t>GB 15979）</w:t>
                  </w:r>
                </w:p>
                <w:p>
                  <w:pPr>
                    <w:jc w:val="both"/>
                  </w:pPr>
                  <w:r>
                    <w:rPr>
                      <w:sz w:val="24"/>
                    </w:rPr>
                    <w:t>1.长期卧床、大小便失禁、行动不便及病人手术后皆适用。</w:t>
                  </w:r>
                </w:p>
                <w:p>
                  <w:pPr>
                    <w:jc w:val="both"/>
                  </w:pPr>
                  <w:r>
                    <w:rPr>
                      <w:sz w:val="24"/>
                    </w:rPr>
                    <w:t>2.外观应整洁、形状完好，表面不得有破损、污渍。</w:t>
                  </w:r>
                </w:p>
                <w:p>
                  <w:pPr>
                    <w:jc w:val="both"/>
                  </w:pPr>
                  <w:r>
                    <w:rPr>
                      <w:sz w:val="24"/>
                    </w:rPr>
                    <w:t>3.尺码：大号，拉拉裤或搭口式。</w:t>
                  </w:r>
                </w:p>
                <w:p>
                  <w:pPr>
                    <w:jc w:val="both"/>
                  </w:pPr>
                  <w:r>
                    <w:rPr>
                      <w:sz w:val="24"/>
                    </w:rPr>
                    <w:t>4.产品有效期≥2年。</w:t>
                  </w:r>
                </w:p>
              </w:tc>
              <w:tc>
                <w:tcPr>
                  <w:tcW w:type="dxa" w:w="387"/>
                  <w:tcBorders>
                    <w:top w:val="none" w:color="000000" w:sz="4"/>
                    <w:left w:val="none" w:color="000000" w:sz="4"/>
                    <w:bottom w:val="single" w:color="000000" w:sz="4"/>
                    <w:right w:val="single" w:color="000000" w:sz="4"/>
                  </w:tcBorders>
                  <w:vAlign w:val="top"/>
                </w:tcPr>
                <w:p>
                  <w:pPr>
                    <w:jc w:val="center"/>
                  </w:pPr>
                  <w:r>
                    <w:rPr>
                      <w:color w:val="000000"/>
                      <w:sz w:val="24"/>
                    </w:rPr>
                    <w:t>包</w:t>
                  </w:r>
                </w:p>
              </w:tc>
              <w:tc>
                <w:tcPr>
                  <w:tcW w:type="dxa" w:w="832"/>
                  <w:tcBorders>
                    <w:top w:val="none" w:color="000000" w:sz="4"/>
                    <w:left w:val="none" w:color="000000" w:sz="4"/>
                    <w:bottom w:val="single" w:color="000000" w:sz="4"/>
                    <w:right w:val="single" w:color="000000" w:sz="4"/>
                  </w:tcBorders>
                  <w:vAlign w:val="top"/>
                </w:tcPr>
                <w:p>
                  <w:pPr>
                    <w:jc w:val="center"/>
                  </w:pPr>
                  <w:r>
                    <w:rPr>
                      <w:color w:val="000000"/>
                      <w:sz w:val="24"/>
                    </w:rPr>
                    <w:t>2500</w:t>
                  </w:r>
                </w:p>
              </w:tc>
              <w:tc>
                <w:tcPr>
                  <w:tcW w:type="dxa" w:w="376"/>
                  <w:tcBorders>
                    <w:top w:val="none" w:color="000000" w:sz="4"/>
                    <w:left w:val="none" w:color="000000" w:sz="4"/>
                    <w:bottom w:val="single" w:color="000000" w:sz="4"/>
                    <w:right w:val="single" w:color="000000" w:sz="4"/>
                  </w:tcBorders>
                  <w:vAlign w:val="top"/>
                </w:tcPr>
                <w:p>
                  <w:pPr>
                    <w:jc w:val="center"/>
                  </w:pPr>
                </w:p>
              </w:tc>
            </w:tr>
            <w:tr>
              <w:tc>
                <w:tcPr>
                  <w:tcW w:type="dxa" w:w="376"/>
                  <w:tcBorders>
                    <w:top w:val="none" w:color="000000" w:sz="4"/>
                    <w:left w:val="single" w:color="000000" w:sz="4"/>
                    <w:bottom w:val="single" w:color="000000" w:sz="4"/>
                    <w:right w:val="single" w:color="000000" w:sz="4"/>
                  </w:tcBorders>
                  <w:vAlign w:val="top"/>
                </w:tcPr>
                <w:p>
                  <w:pPr>
                    <w:jc w:val="center"/>
                  </w:pPr>
                  <w:r>
                    <w:rPr>
                      <w:sz w:val="24"/>
                    </w:rPr>
                    <w:t>20</w:t>
                  </w:r>
                </w:p>
              </w:tc>
              <w:tc>
                <w:tcPr>
                  <w:tcW w:type="dxa" w:w="353"/>
                  <w:vMerge/>
                  <w:tcBorders>
                    <w:top w:val="none" w:color="000000" w:sz="4"/>
                    <w:left w:val="none" w:color="000000" w:sz="4"/>
                    <w:bottom w:val="single" w:color="000000" w:sz="4"/>
                    <w:right w:val="single" w:color="000000" w:sz="4"/>
                  </w:tcBorders>
                </w:tcPr>
                <w:p/>
              </w:tc>
              <w:tc>
                <w:tcPr>
                  <w:tcW w:type="dxa" w:w="570"/>
                  <w:tcBorders>
                    <w:top w:val="none" w:color="000000" w:sz="4"/>
                    <w:left w:val="none" w:color="000000" w:sz="4"/>
                    <w:bottom w:val="single" w:color="000000" w:sz="4"/>
                    <w:right w:val="single" w:color="000000" w:sz="4"/>
                  </w:tcBorders>
                  <w:vAlign w:val="top"/>
                </w:tcPr>
                <w:p>
                  <w:pPr>
                    <w:jc w:val="center"/>
                  </w:pPr>
                  <w:r>
                    <w:rPr>
                      <w:sz w:val="24"/>
                    </w:rPr>
                    <w:t>成人纸尿裤中号（</w:t>
                  </w:r>
                  <w:r>
                    <w:rPr>
                      <w:sz w:val="24"/>
                    </w:rPr>
                    <w:t>10片/包）</w:t>
                  </w:r>
                </w:p>
              </w:tc>
              <w:tc>
                <w:tcPr>
                  <w:tcW w:type="dxa" w:w="2667"/>
                  <w:tcBorders>
                    <w:top w:val="none" w:color="000000" w:sz="4"/>
                    <w:left w:val="none" w:color="000000" w:sz="4"/>
                    <w:bottom w:val="single" w:color="000000" w:sz="4"/>
                    <w:right w:val="single" w:color="000000" w:sz="4"/>
                  </w:tcBorders>
                  <w:vAlign w:val="top"/>
                </w:tcPr>
                <w:p>
                  <w:pPr>
                    <w:jc w:val="both"/>
                  </w:pPr>
                  <w:r>
                    <w:rPr>
                      <w:color w:val="000000"/>
                      <w:sz w:val="24"/>
                    </w:rPr>
                    <w:t>（技术要求：</w:t>
                  </w:r>
                  <w:r>
                    <w:rPr>
                      <w:color w:val="000000"/>
                      <w:sz w:val="24"/>
                    </w:rPr>
                    <w:t>GB 15979）</w:t>
                  </w:r>
                </w:p>
                <w:p>
                  <w:pPr>
                    <w:jc w:val="both"/>
                  </w:pPr>
                  <w:r>
                    <w:rPr>
                      <w:color w:val="000000"/>
                      <w:sz w:val="24"/>
                    </w:rPr>
                    <w:t>1.长期卧床、大小便失禁、行动不便及病人手术后皆适用。</w:t>
                  </w:r>
                </w:p>
                <w:p>
                  <w:pPr>
                    <w:jc w:val="both"/>
                  </w:pPr>
                  <w:r>
                    <w:rPr>
                      <w:color w:val="000000"/>
                      <w:sz w:val="24"/>
                    </w:rPr>
                    <w:t>2.外观应整洁、形状完好，表面不得有破损、污渍。</w:t>
                  </w:r>
                </w:p>
                <w:p>
                  <w:pPr>
                    <w:jc w:val="both"/>
                  </w:pPr>
                  <w:r>
                    <w:rPr>
                      <w:color w:val="000000"/>
                      <w:sz w:val="24"/>
                    </w:rPr>
                    <w:t>3.尺码：中号，拉拉裤或搭口式。</w:t>
                  </w:r>
                </w:p>
                <w:p>
                  <w:pPr>
                    <w:jc w:val="both"/>
                  </w:pPr>
                  <w:r>
                    <w:rPr>
                      <w:color w:val="000000"/>
                      <w:sz w:val="24"/>
                    </w:rPr>
                    <w:t>4.产品有效期≥2年。</w:t>
                  </w:r>
                </w:p>
              </w:tc>
              <w:tc>
                <w:tcPr>
                  <w:tcW w:type="dxa" w:w="387"/>
                  <w:tcBorders>
                    <w:top w:val="none" w:color="000000" w:sz="4"/>
                    <w:left w:val="none" w:color="000000" w:sz="4"/>
                    <w:bottom w:val="single" w:color="000000" w:sz="4"/>
                    <w:right w:val="single" w:color="000000" w:sz="4"/>
                  </w:tcBorders>
                  <w:vAlign w:val="top"/>
                </w:tcPr>
                <w:p>
                  <w:pPr>
                    <w:jc w:val="center"/>
                  </w:pPr>
                  <w:r>
                    <w:rPr>
                      <w:color w:val="000000"/>
                      <w:sz w:val="24"/>
                    </w:rPr>
                    <w:t>包</w:t>
                  </w:r>
                </w:p>
              </w:tc>
              <w:tc>
                <w:tcPr>
                  <w:tcW w:type="dxa" w:w="832"/>
                  <w:tcBorders>
                    <w:top w:val="none" w:color="000000" w:sz="4"/>
                    <w:left w:val="none" w:color="000000" w:sz="4"/>
                    <w:bottom w:val="single" w:color="000000" w:sz="4"/>
                    <w:right w:val="single" w:color="000000" w:sz="4"/>
                  </w:tcBorders>
                  <w:vAlign w:val="top"/>
                </w:tcPr>
                <w:p>
                  <w:pPr>
                    <w:jc w:val="center"/>
                  </w:pPr>
                  <w:r>
                    <w:rPr>
                      <w:color w:val="000000"/>
                      <w:sz w:val="24"/>
                    </w:rPr>
                    <w:t>2500</w:t>
                  </w:r>
                </w:p>
              </w:tc>
              <w:tc>
                <w:tcPr>
                  <w:tcW w:type="dxa" w:w="376"/>
                  <w:tcBorders>
                    <w:top w:val="none" w:color="000000" w:sz="4"/>
                    <w:left w:val="none" w:color="000000" w:sz="4"/>
                    <w:bottom w:val="single" w:color="000000" w:sz="4"/>
                    <w:right w:val="single" w:color="000000" w:sz="4"/>
                  </w:tcBorders>
                  <w:vAlign w:val="top"/>
                </w:tcPr>
                <w:p>
                  <w:pPr>
                    <w:jc w:val="center"/>
                  </w:pPr>
                </w:p>
              </w:tc>
            </w:tr>
          </w:tbl>
        </w:tc>
      </w:tr>
      <w:tr>
        <w:tc>
          <w:tcPr>
            <w:tcW w:type="dxa" w:w="2076"/>
          </w:tcPr>
          <w:p/>
        </w:tc>
        <w:tc>
          <w:tcPr>
            <w:tcW w:type="dxa" w:w="415"/>
          </w:tcPr>
          <w:p>
            <w:r>
              <w:rPr/>
              <w:t>2</w:t>
            </w:r>
          </w:p>
        </w:tc>
        <w:tc>
          <w:tcPr>
            <w:tcW w:type="dxa" w:w="5814"/>
          </w:tcPr>
          <w:p>
            <w:pPr>
              <w:jc w:val="left"/>
            </w:pPr>
            <w:r>
              <w:rPr>
                <w:b/>
                <w:sz w:val="28"/>
              </w:rPr>
              <w:t>储备物资要求</w:t>
            </w:r>
          </w:p>
          <w:p>
            <w:pPr>
              <w:ind w:firstLine="420"/>
              <w:jc w:val="both"/>
            </w:pPr>
            <w:r>
              <w:rPr>
                <w:b/>
                <w:sz w:val="24"/>
              </w:rPr>
              <w:t>（一）储备品种。</w:t>
            </w:r>
            <w:r>
              <w:rPr>
                <w:sz w:val="24"/>
              </w:rPr>
              <w:t>分为四大类</w:t>
            </w:r>
            <w:r>
              <w:rPr>
                <w:sz w:val="24"/>
              </w:rPr>
              <w:t>20个品种，详见本采购需求中第二条。</w:t>
            </w:r>
          </w:p>
          <w:p>
            <w:pPr>
              <w:ind w:firstLine="420"/>
              <w:jc w:val="both"/>
            </w:pPr>
            <w:r>
              <w:rPr>
                <w:sz w:val="24"/>
              </w:rPr>
              <w:t>（二）储备数量。</w:t>
            </w:r>
            <w:r>
              <w:rPr>
                <w:sz w:val="24"/>
              </w:rPr>
              <w:t>储备数量</w:t>
            </w:r>
            <w:r>
              <w:rPr>
                <w:sz w:val="24"/>
              </w:rPr>
              <w:t>等于</w:t>
            </w:r>
            <w:r>
              <w:rPr>
                <w:sz w:val="24"/>
              </w:rPr>
              <w:t>附表一</w:t>
            </w:r>
            <w:r>
              <w:rPr>
                <w:sz w:val="24"/>
              </w:rPr>
              <w:t>中的计划数量</w:t>
            </w:r>
            <w:r>
              <w:rPr>
                <w:sz w:val="24"/>
              </w:rPr>
              <w:t>,具体以合同约定为准</w:t>
            </w:r>
            <w:r>
              <w:rPr>
                <w:sz w:val="24"/>
              </w:rPr>
              <w:t>。储备到期后如没有动用过应急储备物资，则储备数量为合同约定数量；储备期间如动用过应急储备物资，则储备数量为剩余实际储备数量。</w:t>
            </w:r>
          </w:p>
          <w:p>
            <w:pPr>
              <w:ind w:firstLine="420"/>
              <w:jc w:val="both"/>
            </w:pPr>
            <w:r>
              <w:rPr>
                <w:b/>
                <w:sz w:val="24"/>
              </w:rPr>
              <w:t>（三）储备形式。</w:t>
            </w:r>
            <w:r>
              <w:rPr>
                <w:sz w:val="24"/>
              </w:rPr>
              <w:t>实物储备，由采购人直接向中标人采购物资，经验收合格后委托中标人代储、代轮换。该批应急储备物资物权归采购人，未经采购人批准，中标人不得擅自动用，不得将应急储备物资用于办理质押、担保或者清偿债务。</w:t>
            </w:r>
          </w:p>
          <w:p>
            <w:pPr>
              <w:ind w:firstLine="420"/>
              <w:jc w:val="both"/>
            </w:pPr>
            <w:r>
              <w:rPr>
                <w:b/>
                <w:sz w:val="24"/>
              </w:rPr>
              <w:t>（四）质量标准。</w:t>
            </w:r>
            <w:r>
              <w:rPr>
                <w:sz w:val="24"/>
              </w:rPr>
              <w:t>应急储备物资质量应当符合国家强制性标准以及经注册或备案的产品技术要求，其中：</w:t>
            </w:r>
            <w:r>
              <w:rPr>
                <w:sz w:val="24"/>
              </w:rPr>
              <w:t>①医用防护口罩（N95）执行标准为GB19083-2010；②医用外科口罩执行标准为YY0469-2011；③一次性使用医用口罩执行标准为YY/T0969-2013；④防护服执行标准为GB19082-2009；⑤其他物资按照对应的国家/行业标准或技术要求执行。原则上防护物资优先选取可满足医用需求物资，消杀物资需满足环境消毒需要。</w:t>
            </w:r>
          </w:p>
          <w:p>
            <w:pPr>
              <w:ind w:firstLine="420"/>
              <w:jc w:val="both"/>
            </w:pPr>
            <w:r>
              <w:rPr>
                <w:b/>
                <w:sz w:val="24"/>
              </w:rPr>
              <w:t>（五）合格证明。</w:t>
            </w:r>
            <w:r>
              <w:rPr>
                <w:sz w:val="24"/>
              </w:rPr>
              <w:t>投标人所承储的物资需提供出厂合格证明</w:t>
            </w:r>
            <w:r>
              <w:rPr>
                <w:sz w:val="24"/>
              </w:rPr>
              <w:t>。</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r>
        <w:rPr>
          <w:b/>
        </w:rPr>
        <w:t>附表</w:t>
      </w:r>
      <w:r>
        <w:rPr>
          <w:b/>
        </w:rPr>
        <w:t>二</w:t>
      </w:r>
      <w:r>
        <w:rPr>
          <w:b/>
        </w:rPr>
        <w:t>：</w:t>
      </w:r>
      <w:r>
        <w:rPr>
          <w:b/>
        </w:rPr>
        <w:t>应急物资储备管理费（1年）</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r>
              <w:rPr/>
              <w:t>无</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投标人须知</w:t>
      </w:r>
    </w:p>
    <w:p>
      <w:pPr>
        <w:ind w:firstLine="480"/>
      </w:pPr>
      <w:r>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ind w:firstLine="480"/>
      </w:pPr>
      <w:r>
        <w:rPr/>
        <w:t>请注意：供应商需在投标文件截止时间前，将加密投标文件上传至云平台项目采购系统中并取得回执，逾期上传或错误方式投递送达将导致投标无效。</w:t>
      </w:r>
    </w:p>
    <w:p>
      <w:r>
        <w:rPr>
          <w:b/>
          <w:sz w:val="24"/>
        </w:rPr>
        <w:t>一、名词解释</w:t>
      </w:r>
    </w:p>
    <w:p>
      <w:pPr>
        <w:ind w:firstLine="480"/>
      </w:pPr>
      <w:r>
        <w:rPr/>
        <w:t>1.采购代理机构：本项目是指广东万雄项目管理有限公司，负责整个采购活动的组织，依法负责编制和发布招标文件，对招标文件拥有最终的解释权，不以任何身份出任评标委员会成员。</w:t>
      </w:r>
    </w:p>
    <w:p>
      <w:pPr>
        <w:ind w:firstLine="480"/>
      </w:pPr>
      <w:r>
        <w:rPr/>
        <w:t>2.采购人：本项目是指</w:t>
      </w:r>
      <w:r>
        <w:rPr/>
        <w:t>云浮市粮食和物资储备中心</w:t>
      </w:r>
      <w:r>
        <w:rPr/>
        <w:t>，是采购活动当事人之一，负责项目的整体规划、技术方案可行性设计论证与实施，作为合同采购方（用户）的主体承担质疑回复、履行合同、验收与评价等义务。</w:t>
      </w:r>
    </w:p>
    <w:p>
      <w:pPr>
        <w:ind w:firstLine="480"/>
      </w:pPr>
      <w:r>
        <w:rPr/>
        <w:t>3.投标人：是指在云平台项目采购系统完成本项目投标登记并提交电子投标文件的供应商。</w:t>
      </w:r>
    </w:p>
    <w:p>
      <w:pPr>
        <w:ind w:firstLine="480"/>
      </w:pPr>
      <w:r>
        <w:rPr/>
        <w:t>4.“评标委员会”是指根据《中华人民共和国政府采购法》等法律法规规定，由采购人代表和有关专家组成以确定中标供应商或者推荐中标候选人的临时组织。</w:t>
      </w:r>
    </w:p>
    <w:p>
      <w:pPr>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ind w:firstLine="480"/>
      </w:pPr>
      <w:r>
        <w:rPr/>
        <w:t>6.招标文件：是指包括招标公告和招标文件及其补充、变更和澄清等一系列文件。</w:t>
      </w:r>
    </w:p>
    <w:p>
      <w:pPr>
        <w:ind w:firstLine="480"/>
      </w:pPr>
      <w:r>
        <w:rPr/>
        <w:t>7.电子投标文件：是指使用云平台提供的投标客户端制作加密并上传到系统的投标文件。（投标客户端制作投标文件时，生成的后缀为“.标书”的文件）</w:t>
      </w:r>
    </w:p>
    <w:p>
      <w:pPr>
        <w:ind w:firstLine="480"/>
      </w:pPr>
      <w:r>
        <w:rPr/>
        <w:t>8.备用电子投标文件：是指使用云平台提供的投标客户端制作电子投标文件时，同时生成的同一版本的备用投标文件。（投标客户端制作投标文件时，生成的后缀为“.备用标书”的文件）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pPr>
        <w:ind w:firstLine="480"/>
      </w:pP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本表与招标文件对应章节的内容若不一致，以本表为准。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r>
              <w:rPr/>
              <w:t>1</w:t>
            </w:r>
          </w:p>
        </w:tc>
        <w:tc>
          <w:tcPr>
            <w:tcW w:type="dxa" w:w="2252"/>
          </w:tcPr>
          <w:p>
            <w:r>
              <w:rPr/>
              <w:t>采购包情况</w:t>
            </w:r>
          </w:p>
        </w:tc>
        <w:tc>
          <w:tcPr>
            <w:tcW w:type="dxa" w:w="5004"/>
          </w:tcPr>
          <w:p>
            <w:r>
              <w:rPr/>
              <w:t>本项目共</w:t>
            </w:r>
            <w:r>
              <w:rPr/>
              <w:t>1</w:t>
            </w:r>
            <w:r>
              <w:rPr/>
              <w:t>个采购包</w:t>
            </w:r>
          </w:p>
        </w:tc>
      </w:tr>
      <w:tr>
        <w:tc>
          <w:tcPr>
            <w:tcW w:type="dxa" w:w="1051"/>
          </w:tcPr>
          <w:p>
            <w:r>
              <w:rPr/>
              <w:t>2</w:t>
            </w:r>
          </w:p>
        </w:tc>
        <w:tc>
          <w:tcPr>
            <w:tcW w:type="dxa" w:w="2252"/>
          </w:tcPr>
          <w:p>
            <w:r>
              <w:rPr/>
              <w:t>开标方式</w:t>
            </w:r>
          </w:p>
        </w:tc>
        <w:tc>
          <w:tcPr>
            <w:tcW w:type="dxa" w:w="5004"/>
          </w:tcPr>
          <w:p>
            <w:r>
              <w:rPr/>
              <w:t>现场电子开标</w:t>
            </w:r>
          </w:p>
        </w:tc>
      </w:tr>
      <w:tr>
        <w:tc>
          <w:tcPr>
            <w:tcW w:type="dxa" w:w="1051"/>
          </w:tcPr>
          <w:p>
            <w:r>
              <w:rPr/>
              <w:t>3</w:t>
            </w:r>
          </w:p>
        </w:tc>
        <w:tc>
          <w:tcPr>
            <w:tcW w:type="dxa" w:w="2252"/>
          </w:tcPr>
          <w:p>
            <w:r>
              <w:rPr/>
              <w:t>评标方式</w:t>
            </w:r>
          </w:p>
        </w:tc>
        <w:tc>
          <w:tcPr>
            <w:tcW w:type="dxa" w:w="5004"/>
          </w:tcPr>
          <w:p>
            <w:r>
              <w:rPr/>
              <w:t>现场电子评标</w:t>
            </w:r>
            <w:r>
              <w:rPr/>
              <w:t>（供应商应当审慎标记各评审项的应答部分，标记内容清晰且完整，否则将自行承担不利后果）</w:t>
            </w:r>
          </w:p>
        </w:tc>
      </w:tr>
      <w:tr>
        <w:tc>
          <w:tcPr>
            <w:tcW w:type="dxa" w:w="1051"/>
          </w:tcPr>
          <w:p>
            <w:r>
              <w:rPr/>
              <w:t>4</w:t>
            </w:r>
          </w:p>
        </w:tc>
        <w:tc>
          <w:tcPr>
            <w:tcW w:type="dxa" w:w="2252"/>
          </w:tcPr>
          <w:p>
            <w:r>
              <w:rPr/>
              <w:t>评标办法</w:t>
            </w:r>
          </w:p>
        </w:tc>
        <w:tc>
          <w:tcPr>
            <w:tcW w:type="dxa" w:w="5004"/>
          </w:tcPr>
          <w:p>
            <w:r>
              <w:rPr/>
              <w:t>采购包1：综合评分法</w:t>
            </w:r>
          </w:p>
        </w:tc>
      </w:tr>
      <w:tr>
        <w:tc>
          <w:tcPr>
            <w:tcW w:type="dxa" w:w="1051"/>
          </w:tcPr>
          <w:p>
            <w:r>
              <w:rPr/>
              <w:t>5</w:t>
            </w:r>
          </w:p>
        </w:tc>
        <w:tc>
          <w:tcPr>
            <w:tcW w:type="dxa" w:w="2252"/>
          </w:tcPr>
          <w:p>
            <w:r>
              <w:rPr/>
              <w:t>报价形式</w:t>
            </w:r>
          </w:p>
        </w:tc>
        <w:tc>
          <w:tcPr>
            <w:tcW w:type="dxa" w:w="5004"/>
          </w:tcPr>
          <w:p/>
          <w:p>
            <w:r>
              <w:rPr/>
              <w:t>采购包1：总价</w:t>
            </w:r>
          </w:p>
        </w:tc>
      </w:tr>
      <w:tr>
        <w:tc>
          <w:tcPr>
            <w:tcW w:type="dxa" w:w="1051"/>
          </w:tcPr>
          <w:p>
            <w:r>
              <w:rPr/>
              <w:t>6</w:t>
            </w:r>
          </w:p>
        </w:tc>
        <w:tc>
          <w:tcPr>
            <w:tcW w:type="dxa" w:w="2252"/>
          </w:tcPr>
          <w:p>
            <w:r>
              <w:rPr/>
              <w:t>报价要求</w:t>
            </w:r>
          </w:p>
        </w:tc>
        <w:tc>
          <w:tcPr>
            <w:tcW w:type="dxa" w:w="5004"/>
          </w:tcPr>
          <w:p>
            <w:r>
              <w:rPr/>
              <w:t>各采购包报价不超过预算总价</w:t>
            </w:r>
          </w:p>
        </w:tc>
      </w:tr>
      <w:tr>
        <w:tc>
          <w:tcPr>
            <w:tcW w:type="dxa" w:w="1051"/>
          </w:tcPr>
          <w:p>
            <w:r>
              <w:rPr/>
              <w:t>7</w:t>
            </w:r>
          </w:p>
        </w:tc>
        <w:tc>
          <w:tcPr>
            <w:tcW w:type="dxa" w:w="2252"/>
          </w:tcPr>
          <w:p>
            <w:r>
              <w:rPr/>
              <w:t>现场踏勘</w:t>
            </w:r>
          </w:p>
        </w:tc>
        <w:tc>
          <w:tcPr>
            <w:tcW w:type="dxa" w:w="5004"/>
          </w:tcPr>
          <w:p/>
          <w:p>
            <w:r>
              <w:rPr/>
              <w:t>否</w:t>
            </w:r>
          </w:p>
        </w:tc>
      </w:tr>
      <w:tr>
        <w:tc>
          <w:tcPr>
            <w:tcW w:type="dxa" w:w="1051"/>
          </w:tcPr>
          <w:p>
            <w:r>
              <w:rPr/>
              <w:t>8</w:t>
            </w:r>
          </w:p>
        </w:tc>
        <w:tc>
          <w:tcPr>
            <w:tcW w:type="dxa" w:w="2252"/>
          </w:tcPr>
          <w:p>
            <w:r>
              <w:rPr/>
              <w:t>投标有效期</w:t>
            </w:r>
          </w:p>
        </w:tc>
        <w:tc>
          <w:tcPr>
            <w:tcW w:type="dxa" w:w="5004"/>
          </w:tcPr>
          <w:p>
            <w:r>
              <w:rPr/>
              <w:t>从提交投标（响应）文件的截止之日起90日历天</w:t>
            </w:r>
          </w:p>
        </w:tc>
      </w:tr>
      <w:tr>
        <w:tc>
          <w:tcPr>
            <w:tcW w:type="dxa" w:w="1051"/>
          </w:tcPr>
          <w:p>
            <w:r>
              <w:rPr/>
              <w:t>9</w:t>
            </w:r>
          </w:p>
        </w:tc>
        <w:tc>
          <w:tcPr>
            <w:tcW w:type="dxa" w:w="2252"/>
          </w:tcPr>
          <w:p>
            <w:r>
              <w:rPr/>
              <w:t>投标保证金</w:t>
            </w:r>
          </w:p>
        </w:tc>
        <w:tc>
          <w:tcPr>
            <w:tcW w:type="dxa" w:w="5004"/>
          </w:tcPr>
          <w:p>
            <w:pPr>
              <w:ind w:firstLine="480"/>
            </w:p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pPr>
              <w:ind w:firstLine="480"/>
            </w:pPr>
            <w:r>
              <w:rPr/>
              <w:t>投标保证金有效期∶与投标有效期一致。</w:t>
            </w:r>
          </w:p>
          <w:p>
            <w:pPr>
              <w:ind w:firstLine="480"/>
            </w:pPr>
            <w:r>
              <w:rPr/>
              <w:t>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r>
              <w:rPr/>
              <w:t>10</w:t>
            </w:r>
          </w:p>
        </w:tc>
        <w:tc>
          <w:tcPr>
            <w:tcW w:type="dxa" w:w="2252"/>
          </w:tcPr>
          <w:p>
            <w:r>
              <w:rPr/>
              <w:t>投标文件要求</w:t>
            </w:r>
          </w:p>
        </w:tc>
        <w:tc>
          <w:tcPr>
            <w:tcW w:type="dxa" w:w="5004"/>
          </w:tcPr>
          <w:p>
            <w:pPr>
              <w:ind w:firstLine="480"/>
            </w:pPr>
            <w:r>
              <w:rPr/>
              <w:t>一、电子投标文件：</w:t>
            </w:r>
          </w:p>
          <w:p>
            <w:pPr>
              <w:ind w:firstLine="480"/>
            </w:pPr>
            <w:r>
              <w:rPr/>
              <w:t>（1）加密的电子投标文件 1 份（需在递交投标文件截止时间前成功上传至“云平台项目采购系统”）。</w:t>
            </w:r>
          </w:p>
          <w:p>
            <w:pPr>
              <w:ind w:firstLine="480"/>
            </w:pPr>
            <w:r>
              <w:rPr/>
              <w:t>供应商应保证该优先步骤</w:t>
            </w:r>
          </w:p>
          <w:p>
            <w:pPr>
              <w:ind w:firstLine="480"/>
            </w:pPr>
            <w:r>
              <w:rPr/>
              <w:t>（2）若现场无法使用系统进行电子开评标的，供应商须在开标现场递交非加密电子版投标文件U盘（或光盘）</w:t>
            </w:r>
            <w:r>
              <w:rPr/>
              <w:t>1</w:t>
            </w:r>
            <w:r>
              <w:rPr/>
              <w:t>份。</w:t>
            </w:r>
          </w:p>
          <w:p>
            <w:pPr>
              <w:ind w:firstLine="480"/>
            </w:pPr>
            <w:r>
              <w:rPr/>
              <w:t>供应商保证该后备步骤。</w:t>
            </w:r>
          </w:p>
          <w:p>
            <w:pPr>
              <w:ind w:firstLine="480"/>
            </w:pPr>
            <w:r>
              <w:rPr/>
              <w:t>二、纸质投标文件：</w:t>
            </w:r>
          </w:p>
          <w:p>
            <w:pPr>
              <w:ind w:firstLine="480"/>
            </w:pPr>
            <w:r>
              <w:rPr/>
              <w:t>（3）纸质投标文件正本</w:t>
            </w:r>
            <w:r>
              <w:rPr/>
              <w:t>1</w:t>
            </w:r>
            <w:r>
              <w:rPr/>
              <w:t>份，纸质投标文件副本</w:t>
            </w:r>
            <w:r>
              <w:rPr/>
              <w:t>5</w:t>
            </w:r>
            <w:r>
              <w:rPr/>
              <w:t>份。</w:t>
            </w:r>
          </w:p>
          <w:p>
            <w:pPr>
              <w:ind w:firstLine="480"/>
            </w:pPr>
            <w:r>
              <w:rPr/>
              <w:t>供应商须满足上述事项“一、电子投标文件”中（1）或（2）的要求，和“二、纸质投标文件”的要求。请保证电子投标文件应与纸质投标文件（如有）一致，如不一致时以电子投标文件为准。</w:t>
            </w:r>
          </w:p>
        </w:tc>
      </w:tr>
      <w:tr>
        <w:tc>
          <w:tcPr>
            <w:tcW w:type="dxa" w:w="1051"/>
          </w:tcPr>
          <w:p>
            <w:r>
              <w:rPr/>
              <w:t>11</w:t>
            </w:r>
          </w:p>
        </w:tc>
        <w:tc>
          <w:tcPr>
            <w:tcW w:type="dxa" w:w="2252"/>
          </w:tcPr>
          <w:p>
            <w:r>
              <w:rPr/>
              <w:t>中标候选供应商推荐家数</w:t>
            </w:r>
          </w:p>
        </w:tc>
        <w:tc>
          <w:tcPr>
            <w:tcW w:type="dxa" w:w="5004"/>
          </w:tcPr>
          <w:p>
            <w:r>
              <w:rPr/>
              <w:t>采购包1：</w:t>
            </w:r>
            <w:r>
              <w:rPr/>
              <w:t>3家</w:t>
            </w:r>
          </w:p>
        </w:tc>
      </w:tr>
      <w:tr>
        <w:tc>
          <w:tcPr>
            <w:tcW w:type="dxa" w:w="1051"/>
          </w:tcPr>
          <w:p>
            <w:r>
              <w:rPr/>
              <w:t>12</w:t>
            </w:r>
          </w:p>
        </w:tc>
        <w:tc>
          <w:tcPr>
            <w:tcW w:type="dxa" w:w="2252"/>
          </w:tcPr>
          <w:p>
            <w:pPr>
              <w:ind w:firstLine="480"/>
            </w:pPr>
            <w:r>
              <w:rPr/>
              <w:t>中标供应商数量</w:t>
            </w:r>
          </w:p>
        </w:tc>
        <w:tc>
          <w:tcPr>
            <w:tcW w:type="dxa" w:w="5004"/>
          </w:tcPr>
          <w:p>
            <w:pPr>
              <w:ind w:firstLine="480"/>
            </w:pPr>
          </w:p>
          <w:p>
            <w:r>
              <w:rPr/>
              <w:t>采购包1：</w:t>
            </w:r>
            <w:r>
              <w:rPr/>
              <w:t>1家</w:t>
            </w:r>
          </w:p>
          <w:p/>
        </w:tc>
      </w:tr>
      <w:tr>
        <w:tc>
          <w:tcPr>
            <w:tcW w:type="dxa" w:w="1051"/>
          </w:tcPr>
          <w:p>
            <w:r>
              <w:rPr/>
              <w:t>13</w:t>
            </w:r>
          </w:p>
        </w:tc>
        <w:tc>
          <w:tcPr>
            <w:tcW w:type="dxa" w:w="2252"/>
          </w:tcPr>
          <w:p>
            <w:pPr>
              <w:ind w:firstLine="480"/>
            </w:pPr>
            <w:r>
              <w:rPr/>
              <w:t>有效供应商家数</w:t>
            </w:r>
          </w:p>
        </w:tc>
        <w:tc>
          <w:tcPr>
            <w:tcW w:type="dxa" w:w="5004"/>
          </w:tcPr>
          <w:p>
            <w:pPr>
              <w:ind w:firstLine="480"/>
            </w:pPr>
          </w:p>
          <w:p>
            <w:pPr>
              <w:jc w:val="left"/>
            </w:pPr>
          </w:p>
          <w:p>
            <w:r>
              <w:rPr/>
              <w:t>采购包1：3家</w:t>
            </w:r>
          </w:p>
          <w:p/>
          <w:p>
            <w:pPr>
              <w:ind w:firstLine="480"/>
            </w:pPr>
            <w:r>
              <w:rPr/>
              <w:t>此人数约定了开标与评标过程中的最低有效供应商家数，当家数不足时项目将不得开标、不得评标或直接废标。</w:t>
            </w:r>
          </w:p>
        </w:tc>
      </w:tr>
      <w:tr>
        <w:tc>
          <w:tcPr>
            <w:tcW w:type="dxa" w:w="1051"/>
          </w:tcPr>
          <w:p>
            <w:r>
              <w:rPr/>
              <w:t>14</w:t>
            </w:r>
          </w:p>
        </w:tc>
        <w:tc>
          <w:tcPr>
            <w:tcW w:type="dxa" w:w="2252"/>
          </w:tcPr>
          <w:p>
            <w:r>
              <w:rPr/>
              <w:t>项目兼投兼中（兼投不兼中）规则</w:t>
            </w:r>
          </w:p>
        </w:tc>
        <w:tc>
          <w:tcPr>
            <w:tcW w:type="dxa" w:w="5004"/>
          </w:tcPr>
          <w:p>
            <w:r>
              <w:rPr/>
              <w:t>无：-</w:t>
            </w:r>
          </w:p>
        </w:tc>
      </w:tr>
      <w:tr>
        <w:tc>
          <w:tcPr>
            <w:tcW w:type="dxa" w:w="1051"/>
          </w:tcPr>
          <w:p>
            <w:r>
              <w:rPr/>
              <w:t>15</w:t>
            </w:r>
          </w:p>
        </w:tc>
        <w:tc>
          <w:tcPr>
            <w:tcW w:type="dxa" w:w="2252"/>
          </w:tcPr>
          <w:p>
            <w:r>
              <w:rPr/>
              <w:t>中标供应商确定方式</w:t>
            </w:r>
          </w:p>
        </w:tc>
        <w:tc>
          <w:tcPr>
            <w:tcW w:type="dxa" w:w="5004"/>
          </w:tcPr>
          <w:p>
            <w:r>
              <w:rPr/>
              <w:t>采购人按照评审报告中推荐的成交候选人确定中标（成交）人。</w:t>
            </w:r>
          </w:p>
        </w:tc>
      </w:tr>
      <w:tr>
        <w:tc>
          <w:tcPr>
            <w:tcW w:type="dxa" w:w="1051"/>
          </w:tcPr>
          <w:p>
            <w:r>
              <w:rPr/>
              <w:t>16</w:t>
            </w:r>
          </w:p>
        </w:tc>
        <w:tc>
          <w:tcPr>
            <w:tcW w:type="dxa" w:w="2252"/>
          </w:tcPr>
          <w:p>
            <w:r>
              <w:rPr/>
              <w:t>代理服务费</w:t>
            </w:r>
          </w:p>
        </w:tc>
        <w:tc>
          <w:tcPr>
            <w:tcW w:type="dxa" w:w="5004"/>
          </w:tcPr>
          <w:p>
            <w:r>
              <w:rPr/>
              <w:t>收取。</w:t>
            </w:r>
          </w:p>
          <w:p>
            <w:r>
              <w:rPr/>
              <w:t>采购机构代理服务收费标准：中标人在领取《中标通知书》前须向招标代理机构交纳中标服务费，收费标准按照中华人民共和国国家发展计划委员会颁布的计价格〔2002〕1980号、国家发改办价格〔2003〕857号及发改价格〔2011〕534号文规定的“服务类”的计费标准计算，收费金额按差额定率累进法计算后下浮30%收取。</w:t>
            </w:r>
          </w:p>
        </w:tc>
      </w:tr>
      <w:tr>
        <w:tc>
          <w:tcPr>
            <w:tcW w:type="dxa" w:w="1051"/>
          </w:tcPr>
          <w:p>
            <w:r>
              <w:rPr/>
              <w:t>17</w:t>
            </w:r>
          </w:p>
        </w:tc>
        <w:tc>
          <w:tcPr>
            <w:tcW w:type="dxa" w:w="2252"/>
          </w:tcPr>
          <w:p>
            <w:r>
              <w:rPr/>
              <w:t>代理服务费收取方式</w:t>
            </w:r>
          </w:p>
        </w:tc>
        <w:tc>
          <w:tcPr>
            <w:tcW w:type="dxa" w:w="5004"/>
          </w:tcPr>
          <w:p>
            <w:r>
              <w:rPr/>
              <w:t>向中标/成交供应商收取</w:t>
            </w:r>
          </w:p>
        </w:tc>
      </w:tr>
      <w:tr>
        <w:tc>
          <w:tcPr>
            <w:tcW w:type="dxa" w:w="1051"/>
          </w:tcPr>
          <w:p>
            <w:r>
              <w:rPr/>
              <w:t>18</w:t>
            </w:r>
          </w:p>
        </w:tc>
        <w:tc>
          <w:tcPr>
            <w:tcW w:type="dxa" w:w="2252"/>
          </w:tcPr>
          <w:p>
            <w:r>
              <w:rPr/>
              <w:t>其他</w:t>
            </w:r>
          </w:p>
        </w:tc>
        <w:tc>
          <w:tcPr>
            <w:tcW w:type="dxa" w:w="5004"/>
          </w:tcPr>
          <w:p/>
        </w:tc>
      </w:tr>
      <w:tr>
        <w:tc>
          <w:tcPr>
            <w:tcW w:type="dxa" w:w="1051"/>
          </w:tcPr>
          <w:p>
            <w:r>
              <w:rPr/>
              <w:t>19</w:t>
            </w:r>
          </w:p>
        </w:tc>
        <w:tc>
          <w:tcPr>
            <w:tcW w:type="dxa" w:w="2252"/>
          </w:tcPr>
          <w:p>
            <w:r>
              <w:rPr/>
              <w:t>开标解密时长</w:t>
            </w:r>
          </w:p>
        </w:tc>
        <w:tc>
          <w:tcPr>
            <w:tcW w:type="dxa" w:w="5004"/>
          </w:tcPr>
          <w:p/>
          <w:p>
            <w:r>
              <w:rPr/>
              <w:t>说明：具体情况根据开标时现场代理机构人员设置为准</w:t>
            </w:r>
          </w:p>
        </w:tc>
      </w:tr>
      <w:tr>
        <w:tc>
          <w:tcPr>
            <w:tcW w:type="dxa" w:w="1051"/>
          </w:tcPr>
          <w:p>
            <w:r>
              <w:rPr/>
              <w:t>20</w:t>
            </w:r>
          </w:p>
        </w:tc>
        <w:tc>
          <w:tcPr>
            <w:tcW w:type="dxa" w:w="2252"/>
          </w:tcPr>
          <w:p>
            <w:r>
              <w:rPr/>
              <w:t>专门面向中小企业采购</w:t>
            </w:r>
          </w:p>
        </w:tc>
        <w:tc>
          <w:tcPr>
            <w:tcW w:type="dxa" w:w="5004"/>
          </w:tcPr>
          <w:p>
            <w:pPr>
              <w:jc w:val="left"/>
            </w:pPr>
            <w:r>
              <w:rPr/>
              <w:t>采购包1：非专门面向中小企业</w:t>
            </w:r>
          </w:p>
        </w:tc>
      </w:tr>
    </w:tbl>
    <w:p>
      <w:r>
        <w:rPr>
          <w:b/>
          <w:sz w:val="28"/>
        </w:rPr>
        <w:t>三、说明</w:t>
      </w:r>
    </w:p>
    <w:p>
      <w:r>
        <w:rPr>
          <w:b/>
          <w:sz w:val="24"/>
        </w:rPr>
        <w:t>1.总则</w:t>
      </w:r>
    </w:p>
    <w:p>
      <w:pPr>
        <w:ind w:firstLine="480"/>
      </w:pPr>
      <w:r>
        <w:rPr/>
        <w:t>采购人、采购代理机构及投标人进行的本次采购活动适用《中华人民共和国政府采购法》及其配套的法规、规章、政策。</w:t>
      </w:r>
    </w:p>
    <w:p>
      <w:pPr>
        <w:ind w:firstLine="480"/>
      </w:pPr>
      <w:r>
        <w:rPr/>
        <w:t>投标人应仔细阅读本项目招标公告及招标文件的所有内容（包括变更、补充、澄清以及修改等，且均为招标文件的组成部分），按照招标文件要求以及格式编制投标文件，并保证其真实性，否则一切后果自负。</w:t>
      </w:r>
    </w:p>
    <w:p>
      <w:pPr>
        <w:ind w:firstLine="480"/>
      </w:pPr>
      <w:r>
        <w:rPr/>
        <w:t>本次公开招标项目，是以招标公告的方式邀请非特定的投标人参加投标。</w:t>
      </w:r>
    </w:p>
    <w:p>
      <w:r>
        <w:rPr>
          <w:b/>
          <w:sz w:val="24"/>
        </w:rPr>
        <w:t>2.适用范围</w:t>
      </w:r>
    </w:p>
    <w:p>
      <w:pPr>
        <w:ind w:firstLine="480"/>
      </w:pPr>
      <w:r>
        <w:rPr/>
        <w:t>本招标文件仅适用于本次招标公告中所涉及的项目和内容。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4.投标的费用</w:t>
      </w:r>
    </w:p>
    <w:p>
      <w:pPr>
        <w:ind w:firstLine="480"/>
      </w:pPr>
      <w:r>
        <w:rPr/>
        <w:t>不论投标结果如何，投标人应承担所有与准备和参加投标有关的费用。采购代理机构和采购人均无义务和责任承担相关费用。</w:t>
      </w:r>
    </w:p>
    <w:p>
      <w:r>
        <w:rPr>
          <w:b/>
          <w:sz w:val="24"/>
        </w:rPr>
        <w:t>5.以联合体形式投标的，应符合以下规定：</w:t>
      </w:r>
    </w:p>
    <w:p>
      <w:pPr>
        <w:ind w:firstLine="480"/>
      </w:pPr>
      <w:r>
        <w:rPr/>
        <w:t>5.1联合体各方均应当满足《中华人民共和国政府采购法》第二十二条规定的条件，并在投标文件中提供联合体各方的相关证明材料。</w:t>
      </w:r>
    </w:p>
    <w:p>
      <w:pPr>
        <w:ind w:firstLine="480"/>
      </w:pPr>
      <w:r>
        <w:rPr/>
        <w:t>5.2</w:t>
        <w:tab/>
        <w:tab/>
        <w:t xml:space="preserve">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ind w:firstLine="480"/>
      </w:pPr>
      <w:r>
        <w:rPr/>
        <w:t>5.3</w:t>
        <w:tab/>
        <w:tab/>
        <w:t xml:space="preserve">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6.关联企业投标说明</w:t>
      </w:r>
    </w:p>
    <w:p>
      <w:pPr>
        <w:ind w:firstLine="480"/>
      </w:pPr>
      <w:r>
        <w:rPr/>
        <w:t>6.1</w:t>
        <w:tab/>
        <w:tab/>
        <w:t xml:space="preserve"> 对于不接受联合体投标的采购项目（采购包）：法定代表人或单位负责人为同一个人或者存在直接控股、管理关系的不同供应商，不得同时参加同一项目或同一采购包的投标。如同时参加，则其投标将被拒绝。</w:t>
      </w:r>
    </w:p>
    <w:p>
      <w:pPr>
        <w:ind w:firstLine="480"/>
      </w:pPr>
      <w:r>
        <w:rPr/>
        <w:t>6.2</w:t>
        <w:tab/>
        <w:tab/>
        <w:t xml:space="preserve">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
        <w:rPr>
          <w:b/>
          <w:sz w:val="24"/>
        </w:rPr>
        <w:t>7.关于中小微企业投标</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ind w:firstLine="480"/>
      </w:pPr>
      <w:r>
        <w:rPr/>
        <w:t>8.2在确定中标供应商之前，投标人不得与采购人就投标价格、投标方案等实质性内容进行谈判，也不得私下接触评标委员会成员。</w:t>
      </w:r>
    </w:p>
    <w:p>
      <w:pPr>
        <w:ind w:firstLine="480"/>
      </w:pPr>
      <w:r>
        <w:rPr/>
        <w:t>8.3在确定中标供应商之前，投标人试图在投标文件审查、澄清、比较和评价时对评标委员会、采购人和采购代理机构施加任何影响都可能导致其投标无效。</w:t>
      </w:r>
    </w:p>
    <w:p>
      <w:pPr>
        <w:ind w:firstLine="480"/>
      </w:pPr>
      <w:r>
        <w:rPr/>
        <w:t>8.4获得本招标文件者，须履行本项目下保密义务，不得将因本次项目获得的信息向第三人外传，不得将招标文件用作本次投标以外的任何用途。</w:t>
      </w:r>
    </w:p>
    <w:p>
      <w:pPr>
        <w:ind w:firstLine="480"/>
      </w:pPr>
      <w:r>
        <w:rP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ind w:firstLine="480"/>
      </w:pPr>
      <w:r>
        <w:rPr/>
        <w:t>8.6采购人或采购代理机构有权将供应商提供的所有资料向有关政府部门或评审小组披露。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9.2除非招标文件的技术规格中另有规定，投标人在投标文件中及其与采购人和采购代理机构的所有往来文件中的计量单位均应采用中华人民共和国法定计量单位。</w:t>
      </w:r>
    </w:p>
    <w:p>
      <w:pPr>
        <w:ind w:firstLine="480"/>
      </w:pPr>
      <w:r>
        <w:rPr/>
        <w:t>9.3投标人所提供的货物和服务均应以人民币报价，货币单位：元。</w:t>
      </w:r>
    </w:p>
    <w:p>
      <w:r>
        <w:rPr>
          <w:b/>
          <w:sz w:val="24"/>
        </w:rPr>
        <w:t>10. 现场踏勘（如有）</w:t>
      </w:r>
    </w:p>
    <w:p>
      <w:pPr>
        <w:ind w:firstLine="480"/>
      </w:pPr>
      <w:r>
        <w:rPr/>
        <w:t>10.1招标文件规定组织踏勘现场的，采购人按招标文件规定的时间、地点组织投标人踏勘项目现场。</w:t>
      </w:r>
    </w:p>
    <w:p>
      <w:pPr>
        <w:ind w:firstLine="480"/>
      </w:pPr>
      <w:r>
        <w:rPr/>
        <w:t>10.2投标人自行承担踏勘现场发生的责任、风险和自身费用。</w:t>
      </w:r>
    </w:p>
    <w:p>
      <w:pPr>
        <w:ind w:firstLine="480"/>
      </w:pPr>
      <w:r>
        <w:rPr/>
        <w:t>10.3采购人在踏勘现场中介绍的资料和数据等，只是为了使投标人能够利用招标人现有的资料。招标人对投标人由此而作出的推论、解释和结论概不负责。</w:t>
      </w:r>
    </w:p>
    <w:p>
      <w:r>
        <w:rPr>
          <w:b/>
          <w:sz w:val="28"/>
        </w:rPr>
        <w:t>四、招标文件的澄清和修改</w:t>
      </w:r>
    </w:p>
    <w:p>
      <w:pPr>
        <w:ind w:firstLine="480"/>
      </w:pPr>
      <w:r>
        <w:rPr/>
        <w:t>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ind w:firstLine="480"/>
      </w:pPr>
      <w:r>
        <w:rP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ind w:firstLine="480"/>
      </w:pPr>
      <w:r>
        <w:rPr/>
        <w:t>3.如更正公告有重新发布电子招标文件的，供应商应登录云平台项目采购系统下载最新发布的电子招标文件制作投标文件。</w:t>
      </w:r>
    </w:p>
    <w:p>
      <w:pPr>
        <w:ind w:firstLine="480"/>
      </w:pPr>
      <w:r>
        <w:rPr/>
        <w:t>4.投标人在规定的时间内未对招标文件提出疑问、质疑或要求澄清的，将视其为无异议。对招标文件中描述有歧义或前后不一致的地方，评标委员会有权进行评判，但对同一条款的评判应适用于每个投标人。</w:t>
      </w:r>
    </w:p>
    <w:p>
      <w:r>
        <w:rPr>
          <w:b/>
          <w:sz w:val="28"/>
        </w:rPr>
        <w:t>五、投标要求</w:t>
      </w:r>
    </w:p>
    <w:p>
      <w:r>
        <w:rPr>
          <w:b/>
          <w:sz w:val="24"/>
        </w:rPr>
        <w:t>1.投标登记</w:t>
      </w:r>
    </w:p>
    <w:p>
      <w:pPr>
        <w:ind w:firstLine="480"/>
      </w:pPr>
      <w:r>
        <w:rPr/>
        <w:t>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
        <w:rPr>
          <w:b/>
          <w:sz w:val="24"/>
        </w:rPr>
        <w:t>2.投标文件的制作</w:t>
      </w:r>
    </w:p>
    <w:p>
      <w:pPr>
        <w:ind w:firstLine="480"/>
      </w:pPr>
      <w:r>
        <w:rPr/>
        <w:t>2.1投标文件中，所有内容均以电子文件编制，其格式要求详见第六章说明。如因不按要求编制导致系统无法检索、读取相关信息时，其后果由投标人承担。</w:t>
      </w:r>
    </w:p>
    <w:p>
      <w:pPr>
        <w:ind w:firstLine="480"/>
      </w:pPr>
      <w:r>
        <w:rPr/>
        <w:t>2.2投标人应使用云平台提供的投标客户端编制、标记、加密投标文件，成功加密后将生成指定格式的电子投标文件和电子备用投标文件。所有投标文件不能进行压缩处理。关于电子投标报价（如有报价）说明如下：</w:t>
      </w:r>
    </w:p>
    <w:p>
      <w:pPr>
        <w:ind w:firstLine="480"/>
      </w:pPr>
      <w:r>
        <w:rP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ind w:firstLine="480"/>
      </w:pPr>
      <w:r>
        <w:rPr/>
        <w:t>(2)投标报价包括本项目采购需求和投入使用的所有费用，包括但不限于主件、标准附件、备品备件、施工、服务、专用工具、安装、调试、检验、培训、运输、保险、税款等。</w:t>
      </w:r>
    </w:p>
    <w:p>
      <w:pPr>
        <w:ind w:firstLine="480"/>
      </w:pPr>
      <w:r>
        <w:rPr/>
        <w:t>2.3 如有对多个采购包投标的，要对每个采购包独立制作电子投标文件。</w:t>
      </w:r>
    </w:p>
    <w:p>
      <w:pPr>
        <w:ind w:firstLine="480"/>
      </w:pPr>
      <w:r>
        <w:rPr/>
        <w:t>2.4投标人不得将同一个项目或同一个采购包的内容拆开投标，否则其报价将被视为非实质性响应。</w:t>
      </w:r>
    </w:p>
    <w:p>
      <w:pPr>
        <w:ind w:firstLine="480"/>
      </w:pPr>
      <w:r>
        <w:rPr/>
        <w:t>2.5投标人须对招标文件的对应要求给予唯一的实质性响应，否则将视为不响应。</w:t>
      </w:r>
    </w:p>
    <w:p>
      <w:pPr>
        <w:ind w:firstLine="480"/>
      </w:pPr>
      <w:r>
        <w:rPr/>
        <w:t>2.6招标文件中，凡标有“★”的地方均为实质性响应条款，投标人若有一项带“★”的条款未响应或不满足，将按无效投标处理。</w:t>
      </w:r>
    </w:p>
    <w:p>
      <w:pPr>
        <w:ind w:firstLine="480"/>
      </w:pPr>
      <w:r>
        <w:rPr/>
        <w:t>2.7投标人必须按招标文件指定的格式填写各种报价，各报价应计算正确。除在招标文件另有规定外（如：报折扣、报优惠率等），计量单位应使用中华人民共和国法定计量单位，以人民币填报所有报价。</w:t>
      </w:r>
    </w:p>
    <w:p>
      <w:pPr>
        <w:ind w:firstLine="480"/>
      </w:pPr>
      <w:r>
        <w:rPr/>
        <w:t>2.8投标文件以及投标人与采购人、代理机构就有关投标的往来函电均应使用中文。投标人提交的支持性文件和印制的文件可以用另一种语言，但相应内容应翻译成中文，在解释投标文件时以中文文本为准。</w:t>
      </w:r>
    </w:p>
    <w:p>
      <w:pPr>
        <w:ind w:firstLine="480"/>
      </w:pPr>
      <w:r>
        <w:rPr/>
        <w:t>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3.投标文件的提交</w:t>
      </w:r>
    </w:p>
    <w:p>
      <w:pPr>
        <w:ind w:firstLine="480"/>
      </w:pPr>
      <w:r>
        <w:rPr/>
        <w:t>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ind w:firstLine="480"/>
      </w:pPr>
      <w:r>
        <w:rPr/>
        <w:t>3.2代理机构对因不可抗力事件造成的投标文件的损坏、丢失的，不承担责任。</w:t>
      </w:r>
    </w:p>
    <w:p>
      <w:pPr>
        <w:ind w:firstLine="480"/>
      </w:pPr>
      <w:r>
        <w:rPr/>
        <w:t>3.3出现下述情形之一，属于未成功提交投标文件，按无效投标处理：</w:t>
      </w:r>
    </w:p>
    <w:p>
      <w:pPr>
        <w:ind w:firstLine="480"/>
      </w:pPr>
      <w:r>
        <w:rPr/>
        <w:t>（1）至提交投标文件截止时，投标文件未完整上传的。</w:t>
      </w:r>
    </w:p>
    <w:p>
      <w:pPr>
        <w:ind w:firstLine="480"/>
      </w:pPr>
      <w:r>
        <w:rPr/>
        <w:t>（2）投标文件未按投标格式中注明需签字盖章的要求进行签名（含电子签名）和加盖电子印章，或签名（含电子签名）或电子印章不完整的。</w:t>
      </w:r>
    </w:p>
    <w:p>
      <w:pPr>
        <w:ind w:firstLine="480"/>
      </w:pPr>
      <w:r>
        <w:rPr/>
        <w:t>（3）投标文件损坏或格式不正确的。</w:t>
      </w:r>
    </w:p>
    <w:p>
      <w:r>
        <w:rPr>
          <w:b/>
          <w:sz w:val="24"/>
        </w:rPr>
        <w:t>4.投标文件的修改、撤回与撤销</w:t>
      </w:r>
    </w:p>
    <w:p>
      <w:pPr>
        <w:ind w:firstLine="480"/>
      </w:pPr>
      <w:r>
        <w:rPr/>
        <w:t>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ind w:firstLine="480"/>
      </w:pPr>
      <w:r>
        <w:rPr/>
        <w:t>4.2在提交投标文件截止时间后，投标人不得补充、修改和更换投标文件。</w:t>
      </w:r>
    </w:p>
    <w:p>
      <w:r>
        <w:rPr>
          <w:b/>
          <w:sz w:val="24"/>
        </w:rPr>
        <w:t>5.投标文件的解密</w:t>
      </w:r>
    </w:p>
    <w:p>
      <w:pPr>
        <w:ind w:firstLine="480"/>
      </w:pPr>
      <w:r>
        <w:rP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r>
        <w:rPr>
          <w:b/>
          <w:sz w:val="24"/>
        </w:rPr>
        <w:t>6.投标保证金</w:t>
      </w:r>
    </w:p>
    <w:p>
      <w:pPr>
        <w:ind w:firstLine="480"/>
      </w:pPr>
      <w:r>
        <w:rPr/>
        <w:t>6.1投标保证金的缴纳</w:t>
      </w:r>
    </w:p>
    <w:p>
      <w:pPr>
        <w:ind w:firstLine="480"/>
      </w:pPr>
      <w:r>
        <w:rPr/>
        <w:t>投标人在提交投标文件时，应按投标人须知前附表规定的金额和缴纳要求缴纳投标保证金，并作为其投标文件的组成部分。</w:t>
      </w:r>
    </w:p>
    <w:p>
      <w:pPr>
        <w:ind w:firstLine="480"/>
      </w:pPr>
      <w:r>
        <w:rPr/>
        <w:t>如采用转账、支票、本票、汇票形式提交的，投标保证金从投标人基本账户递交，由</w:t>
      </w:r>
      <w:r>
        <w:rPr/>
        <w:t>广东万雄项目管理有限公司</w:t>
      </w:r>
      <w:r>
        <w:rPr/>
        <w:t>代收。具体操作要求详见</w:t>
      </w:r>
      <w:r>
        <w:rPr/>
        <w:t>广东万雄项目管理有限公司</w:t>
      </w:r>
      <w:r>
        <w:rPr/>
        <w:t>有关指引，递交事宜请自行咨询</w:t>
      </w:r>
      <w:r>
        <w:rPr/>
        <w:t>广东万雄项目管理有限公司</w:t>
      </w:r>
      <w:r>
        <w:rPr/>
        <w:t>；请各投标人在投标文件递交截止时间前按须知前附表规定的金额递交至</w:t>
      </w:r>
      <w:r>
        <w:rPr/>
        <w:t>广东万雄项目管理有限公司</w:t>
      </w:r>
      <w:r>
        <w:rPr/>
        <w:t>，到账情况以开标时</w:t>
      </w:r>
      <w:r>
        <w:rPr/>
        <w:t>广东万雄项目管理有限公司</w:t>
      </w:r>
      <w:r>
        <w:rPr/>
        <w:t>查询的信息为准。</w:t>
      </w:r>
    </w:p>
    <w:p>
      <w:pPr>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ind w:firstLine="480"/>
      </w:pPr>
      <w:r>
        <w:rPr/>
        <w:t>投标人可通过"广东政府采购智慧云平台金融服务中心"(https://gdgpo.czt.gd.gov.cn/zcdservice/zcd/guangdong/)，申请办理电子保函，电子保函与纸质保函具有同样效力。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ind w:firstLine="480"/>
      </w:pPr>
      <w:r>
        <w:rPr/>
        <w:t>6.2投标保证金的退还：</w:t>
      </w:r>
    </w:p>
    <w:p>
      <w:pPr>
        <w:ind w:firstLine="480"/>
      </w:pPr>
      <w:r>
        <w:rPr/>
        <w:t>（1）投标人在投标截止时间前放弃投标的，自所投采购包结果公告发出后5个工作日内退还。</w:t>
      </w:r>
    </w:p>
    <w:p>
      <w:pPr>
        <w:ind w:firstLine="480"/>
      </w:pPr>
      <w:r>
        <w:rPr/>
        <w:t>（2）未中标的投标人投标保证金，自中标通知书发出之日起5个工作日内退还。</w:t>
      </w:r>
    </w:p>
    <w:p>
      <w:pPr>
        <w:ind w:firstLine="480"/>
      </w:pPr>
      <w:r>
        <w:rPr/>
        <w:t>（3）中标供应商的投标保证金，自政府采购合同签订之日起5个工作日内退还。</w:t>
      </w:r>
    </w:p>
    <w:p>
      <w:pPr>
        <w:ind w:firstLine="480"/>
      </w:pPr>
      <w:r>
        <w:rPr/>
        <w:t>备注：但因投标人自身原因导致无法及时退还的除外。</w:t>
      </w:r>
    </w:p>
    <w:p>
      <w:pPr>
        <w:ind w:firstLine="480"/>
      </w:pPr>
      <w:r>
        <w:rPr/>
        <w:t>6.3有下列情形之一的，投标保证金将不予退还：</w:t>
      </w:r>
    </w:p>
    <w:p>
      <w:pPr>
        <w:ind w:firstLine="480"/>
      </w:pPr>
      <w:r>
        <w:rPr/>
        <w:t>（1）提供虚假材料谋取中标、成交的；</w:t>
      </w:r>
    </w:p>
    <w:p>
      <w:pPr>
        <w:ind w:firstLine="480"/>
      </w:pPr>
      <w:r>
        <w:rPr/>
        <w:t>（2）投标人在招标文件规定的投标有效期内撤销其投标；</w:t>
      </w:r>
    </w:p>
    <w:p>
      <w:pPr>
        <w:ind w:firstLine="480"/>
      </w:pPr>
      <w:r>
        <w:rPr/>
        <w:t>（3）中标后，无正当理由放弃中标资格；</w:t>
      </w:r>
    </w:p>
    <w:p>
      <w:pPr>
        <w:ind w:firstLine="480"/>
      </w:pPr>
      <w:r>
        <w:rPr/>
        <w:t>（4）中标后，无正当理由不与采购人签订合同；</w:t>
      </w:r>
    </w:p>
    <w:p>
      <w:pPr>
        <w:ind w:firstLine="480"/>
      </w:pPr>
      <w:r>
        <w:rPr/>
        <w:t>（5）法律法规和招标文件规定的其他情形。</w:t>
      </w:r>
    </w:p>
    <w:p>
      <w:r>
        <w:rPr>
          <w:b/>
          <w:sz w:val="24"/>
        </w:rPr>
        <w:t>7.投标有效期</w:t>
      </w:r>
    </w:p>
    <w:p>
      <w:pPr>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ind w:firstLine="480"/>
      </w:pPr>
      <w:r>
        <w:rPr/>
        <w:t>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r>
        <w:rPr>
          <w:b/>
          <w:sz w:val="24"/>
        </w:rPr>
        <w:t>8.样品（演示）</w:t>
      </w:r>
    </w:p>
    <w:p>
      <w:pPr>
        <w:ind w:firstLine="480"/>
      </w:pPr>
      <w:r>
        <w:rPr/>
        <w:t>8.1招标文件规定投标人提交样品的，样品属于投标文件的组成部分。样品的生产、运输、安装、保全等一切费用由投标人自理。</w:t>
      </w:r>
    </w:p>
    <w:p>
      <w:pPr>
        <w:ind w:firstLine="480"/>
      </w:pPr>
      <w:r>
        <w:rPr/>
        <w:t>8.2投标截止时间前，投标人应将样品送达至指定地点。若需要现场演示的，投标人应提前做好演示准备（包括演示设备）。</w:t>
      </w:r>
    </w:p>
    <w:p>
      <w:pPr>
        <w:ind w:firstLine="480"/>
      </w:pPr>
      <w:r>
        <w:rPr/>
        <w:t>8.3采购结果公告发布后，中标供应商的样品由采购人封存，作为履约验收的依据之一。未中标供应商在接到采购代理机构通知后，应按规定时间尽快自行取回样品，否则视同供应商不再认领，代理机构有权进行处理。</w:t>
      </w:r>
    </w:p>
    <w:p>
      <w:r>
        <w:rPr>
          <w:b/>
          <w:sz w:val="24"/>
        </w:rPr>
        <w:t>9.除招标文件另有规定外，有下列情形之一的，投标无效：</w:t>
      </w:r>
    </w:p>
    <w:p>
      <w:pPr>
        <w:ind w:firstLine="480"/>
      </w:pPr>
      <w:r>
        <w:rPr/>
        <w:t>9.1投标文件未按照招标文件要求签署、盖章；</w:t>
      </w:r>
    </w:p>
    <w:p>
      <w:pPr>
        <w:ind w:firstLine="480"/>
      </w:pPr>
      <w:r>
        <w:rPr/>
        <w:t>9.2不符合招标文件中规定的资格要求；</w:t>
      </w:r>
    </w:p>
    <w:p>
      <w:pPr>
        <w:ind w:firstLine="480"/>
      </w:pPr>
      <w:r>
        <w:rPr/>
        <w:t>9.3投标报价超过招标文件中规定的预算金额或最高限价；</w:t>
      </w:r>
    </w:p>
    <w:p>
      <w:pPr>
        <w:ind w:firstLine="480"/>
      </w:pPr>
      <w:r>
        <w:rPr/>
        <w:t>9.4投标文件含有采购人不能接受的附加条件；</w:t>
      </w:r>
    </w:p>
    <w:p>
      <w:pPr>
        <w:ind w:firstLine="480"/>
      </w:pPr>
      <w:r>
        <w:rPr/>
        <w:t>9.5有关法律、法规和规章及招标文件规定的其他无效情形。</w:t>
      </w:r>
    </w:p>
    <w:p>
      <w:r>
        <w:rPr>
          <w:b/>
          <w:sz w:val="28"/>
        </w:rPr>
        <w:t>六、开标、评标和定标</w:t>
      </w:r>
    </w:p>
    <w:p>
      <w:r>
        <w:rPr>
          <w:b/>
          <w:sz w:val="24"/>
        </w:rPr>
        <w:t>1.开标</w:t>
      </w:r>
    </w:p>
    <w:p>
      <w:pPr>
        <w:ind w:firstLine="480"/>
      </w:pPr>
      <w:r>
        <w:rPr/>
        <w:t>1.1 开标程序</w:t>
      </w:r>
    </w:p>
    <w:p>
      <w:pPr>
        <w:ind w:firstLine="480"/>
      </w:pPr>
      <w:r>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ind w:firstLine="480"/>
      </w:pPr>
      <w:r>
        <w:rP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ind w:firstLine="480"/>
      </w:pPr>
      <w:r>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ind w:firstLine="480"/>
      </w:pPr>
      <w:r>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ind w:firstLine="480"/>
      </w:pPr>
      <w:r>
        <w:rP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投标处理。</w:t>
      </w:r>
    </w:p>
    <w:p>
      <w:pPr>
        <w:ind w:firstLine="480"/>
      </w:pPr>
      <w:r>
        <w:rPr/>
        <w:t>1.2开标异议</w:t>
      </w:r>
    </w:p>
    <w:p>
      <w:pPr>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ind w:firstLine="480"/>
      </w:pPr>
      <w:r>
        <w:rPr/>
        <w:t>1.3 投标截止时间后，投标人不足须知前附表中约定的有效供应商家数的，不得开标。同时，本次采购活动结束。</w:t>
      </w:r>
    </w:p>
    <w:p>
      <w:pPr>
        <w:ind w:firstLine="480"/>
      </w:pPr>
      <w:r>
        <w:rPr/>
        <w:t>1.4开标时出现下列情况的，视为投标无效处理：</w:t>
      </w:r>
    </w:p>
    <w:p>
      <w:pPr>
        <w:ind w:firstLine="480"/>
      </w:pPr>
      <w:r>
        <w:rPr/>
        <w:t>（1）经检查数字证书无效的；</w:t>
      </w:r>
    </w:p>
    <w:p>
      <w:pPr>
        <w:ind w:firstLine="480"/>
      </w:pPr>
      <w:r>
        <w:rPr/>
        <w:t>（2）因投标人自身原因，未在规定时间内完成电子投标文件解密的；</w:t>
      </w:r>
    </w:p>
    <w:p>
      <w:pPr>
        <w:ind w:firstLine="480"/>
      </w:pPr>
      <w:r>
        <w:rPr/>
        <w:t>（3）如需使用备用电子投标文件解密时，在规定的解密时间内无法提供备用电子投标文件或提供的备用电子投标文件与加密的电子投标文件版本不一致（即两份文件不是投标客户端编制同时生成的）。</w:t>
      </w:r>
    </w:p>
    <w:p>
      <w:r>
        <w:rPr>
          <w:b/>
          <w:sz w:val="24"/>
        </w:rPr>
        <w:t>2.评审（详见第四章）</w:t>
      </w:r>
    </w:p>
    <w:p>
      <w:r>
        <w:rPr>
          <w:b/>
          <w:sz w:val="24"/>
        </w:rPr>
        <w:t>3.定标</w:t>
      </w:r>
    </w:p>
    <w:p>
      <w:pPr>
        <w:ind w:firstLine="480"/>
      </w:pPr>
      <w:r>
        <w:rPr/>
        <w:t>3.1中标公告：</w:t>
      </w:r>
    </w:p>
    <w:p>
      <w:pPr>
        <w:ind w:firstLine="480"/>
      </w:pPr>
      <w:r>
        <w:rPr/>
        <w:t>中标供应商确定之日起2个工作日内，</w:t>
        <w:tab/>
        <w:tab/>
        <w:t xml:space="preserve"> 采购人或采购代理机构将在中国政府采购网(www.ccgp.gov.cn)、广东省政府采购网(https://gdgpo.czt.gd.gov.cn/)上以公告的形式发布中标结果，中标公告的公告期限为 1</w:t>
        <w:tab/>
        <w:tab/>
        <w:t xml:space="preserve"> 个工作日。中标公告同时作为采购代理机构通知除中标供应商外的其他投标人没有中标的书面形式，采购代理机构不再以其它方式另行通知。</w:t>
      </w:r>
    </w:p>
    <w:p>
      <w:pPr>
        <w:ind w:firstLine="480"/>
      </w:pPr>
      <w:r>
        <w:rPr/>
        <w:t>3.2中标通知书：</w:t>
      </w:r>
    </w:p>
    <w:p>
      <w:pPr>
        <w:ind w:firstLine="480"/>
      </w:pPr>
      <w:r>
        <w:rPr/>
        <w:t>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ind w:firstLine="480"/>
      </w:pPr>
      <w:r>
        <w:rPr/>
        <w:t>3.3终止公告：</w:t>
      </w:r>
    </w:p>
    <w:p>
      <w:pPr>
        <w:ind w:firstLine="480"/>
      </w:pPr>
      <w:r>
        <w:rPr/>
        <w:t>项目废标后，采购人或采购代理机构将在中国政府采购网(www.ccgp.gov.cn)、广东省政府采购网(https://gdgpo.czt.gd.gov.cn/)、上发布终止公告，终止公告的公告期限为1个工作日。</w:t>
      </w:r>
    </w:p>
    <w:p>
      <w:r>
        <w:rPr>
          <w:b/>
          <w:sz w:val="28"/>
        </w:rPr>
        <w:t>七、询问、质疑与投诉</w:t>
      </w:r>
    </w:p>
    <w:p>
      <w:r>
        <w:rPr>
          <w:b/>
          <w:sz w:val="24"/>
        </w:rPr>
        <w:t>1.询问</w:t>
      </w:r>
    </w:p>
    <w:p>
      <w:pPr>
        <w:ind w:firstLine="480"/>
      </w:pPr>
      <w:r>
        <w:rP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r>
        <w:rPr>
          <w:b/>
          <w:sz w:val="24"/>
        </w:rPr>
        <w:t>2.质疑</w:t>
      </w:r>
    </w:p>
    <w:p>
      <w:pPr>
        <w:ind w:firstLine="480"/>
      </w:pPr>
      <w:r>
        <w:rP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(1)对招标文件提出质疑的，为获取招标文件之日或者招标文件公告期限届满之日；</w:t>
      </w:r>
    </w:p>
    <w:p>
      <w:pPr>
        <w:ind w:firstLine="480"/>
      </w:pPr>
      <w:r>
        <w:rPr/>
        <w:t>(2)对采购过程提出质疑的，为各采购程序环节结束之日；</w:t>
      </w:r>
    </w:p>
    <w:p>
      <w:pPr>
        <w:ind w:firstLine="480"/>
      </w:pPr>
      <w:r>
        <w:rPr/>
        <w:t>(3)对中标结果提出质疑的，为中标结果公告期限届满之日。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(3)认为采购文件、采购过程、中标和成交结果使自己的合法权益受到损害的法律依据、事实依据、相关证明材料及证据来源；</w:t>
      </w:r>
    </w:p>
    <w:p>
      <w:pPr>
        <w:ind w:firstLine="480"/>
      </w:pPr>
      <w:r>
        <w:rPr/>
        <w:t>(4)提出质疑的日期。</w:t>
      </w:r>
    </w:p>
    <w:p>
      <w:pPr>
        <w:ind w:firstLine="480"/>
      </w:pPr>
      <w:r>
        <w:rPr/>
        <w:t>2.3 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李小姐</w:t>
      </w:r>
    </w:p>
    <w:p>
      <w:pPr>
        <w:ind w:firstLine="480"/>
      </w:pPr>
      <w:r>
        <w:rPr/>
        <w:t>电话：</w:t>
      </w:r>
      <w:r>
        <w:rPr/>
        <w:t>0766-8833802</w:t>
      </w:r>
    </w:p>
    <w:p>
      <w:pPr>
        <w:ind w:firstLine="480"/>
      </w:pPr>
      <w:r>
        <w:rPr/>
        <w:t>传真：</w:t>
      </w:r>
      <w:r>
        <w:rPr/>
        <w:t>0766-8833802</w:t>
      </w:r>
    </w:p>
    <w:p>
      <w:pPr>
        <w:ind w:firstLine="480"/>
      </w:pPr>
      <w:r>
        <w:rPr/>
        <w:t>邮箱：</w:t>
      </w:r>
      <w:r>
        <w:rPr/>
        <w:t>gdwxxmgl@163.com</w:t>
      </w:r>
    </w:p>
    <w:p>
      <w:pPr>
        <w:ind w:firstLine="480"/>
      </w:pPr>
      <w:r>
        <w:rPr/>
        <w:t>地址：</w:t>
      </w:r>
      <w:r>
        <w:rPr/>
        <w:t>云浮市云城区云城街道城中路110号第一幢四楼</w:t>
      </w:r>
    </w:p>
    <w:p>
      <w:pPr>
        <w:ind w:firstLine="480"/>
      </w:pPr>
      <w:r>
        <w:rPr/>
        <w:t>邮编：</w:t>
      </w:r>
      <w:r>
        <w:rPr/>
        <w:t>527300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政府采购监督管理机构名称：云浮市财政局政府采购监管科</w:t>
      </w:r>
    </w:p>
    <w:p>
      <w:r>
        <w:rPr/>
        <w:t>地  址：广东省云浮市云城区金山路82号</w:t>
      </w:r>
    </w:p>
    <w:p>
      <w:r>
        <w:rPr/>
        <w:t>电  话：0766-8331955</w:t>
      </w:r>
    </w:p>
    <w:p>
      <w:r>
        <w:rPr/>
        <w:t>邮  编：527500</w:t>
      </w:r>
    </w:p>
    <w:p>
      <w:r>
        <w:rPr/>
        <w:t>传  真：-</w:t>
      </w:r>
    </w:p>
    <w:p/>
    <w:p>
      <w:r>
        <w:rPr>
          <w:b/>
          <w:sz w:val="28"/>
        </w:rPr>
        <w:t>八、合同签订和履行</w:t>
      </w:r>
    </w:p>
    <w:p>
      <w:r>
        <w:rPr>
          <w:b/>
          <w:sz w:val="24"/>
        </w:rPr>
        <w:t>1.合同签订</w:t>
      </w:r>
    </w:p>
    <w:p>
      <w:pPr>
        <w:ind w:firstLine="480"/>
      </w:pPr>
      <w:r>
        <w:rPr/>
        <w:t>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ind w:firstLine="480"/>
      </w:pPr>
      <w:r>
        <w:rPr/>
        <w:t>1.2采购人不得提出试用合格等任何不合理的要求作为签订合同的条件，且不得与中标供应商私下订立背离合同实质性内容的协议。</w:t>
      </w:r>
    </w:p>
    <w:p>
      <w:pPr>
        <w:ind w:firstLine="480"/>
      </w:pPr>
      <w:r>
        <w:rPr/>
        <w:t>1.3采购人应当自政府采购合同签订之日起2个工作日内，将政府采购合同在省级以上人民政府财政部门指定的媒体上公告，但政府采购合同中涉及国家秘密、商业秘密的内容除外。</w:t>
      </w:r>
    </w:p>
    <w:p>
      <w:pPr>
        <w:ind w:firstLine="480"/>
      </w:pPr>
      <w:r>
        <w:rP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评标</w:t>
      </w:r>
    </w:p>
    <w:p>
      <w:r>
        <w:rPr>
          <w:b/>
          <w:sz w:val="28"/>
        </w:rPr>
        <w:t>一、评标要求</w:t>
      </w:r>
    </w:p>
    <w:p>
      <w:r>
        <w:rPr>
          <w:b/>
          <w:sz w:val="24"/>
        </w:rPr>
        <w:t>1.评标方法</w:t>
      </w:r>
    </w:p>
    <w:p>
      <w:pPr>
        <w:ind w:firstLine="480"/>
      </w:pPr>
    </w:p>
    <w:p/>
    <w:p>
      <w:r>
        <w:rPr/>
        <w:t>采购包1(云浮市应急物资保障体系建设补助资金（中央直达资金）项目)：综合评分法,是指投标文件满足招标文件全部实质性要求，且按照评审因素的量化指标评审得分最高的投标人为中标候选人的评标方法。（最低报价不是中标的唯一依据。）</w:t>
      </w:r>
    </w:p>
    <w:p/>
    <w:p>
      <w:r>
        <w:rPr>
          <w:b/>
          <w:sz w:val="24"/>
        </w:rPr>
        <w:t>2.评标原则</w:t>
      </w:r>
    </w:p>
    <w:p>
      <w:pPr>
        <w:ind w:firstLine="480"/>
      </w:pPr>
      <w:r>
        <w:rPr/>
        <w:t>2.1评标活动遵循公平、公正、科学和择优的原则，以招标文件和投标文件为评标的基本依据，并按照招标文件规定的评标方法和评标标准进行评标。</w:t>
      </w:r>
    </w:p>
    <w:p>
      <w:pPr>
        <w:ind w:firstLine="480"/>
      </w:pPr>
      <w:r>
        <w:rPr/>
        <w:t>2.2具体评标事项由评标委员会负责，并按招标文件的规定办法进行评审。</w:t>
      </w:r>
    </w:p>
    <w:p>
      <w:pPr>
        <w:ind w:firstLine="480"/>
      </w:pPr>
      <w:r>
        <w:rPr/>
        <w:t>2.3合格投标人不足须知前附表中约定的有效供应商家数的，不得评标。</w:t>
      </w:r>
    </w:p>
    <w:p>
      <w:r>
        <w:rPr>
          <w:b/>
          <w:sz w:val="24"/>
        </w:rPr>
        <w:t>3.评标委员会</w:t>
      </w:r>
    </w:p>
    <w:p>
      <w:pPr>
        <w:ind w:firstLine="480"/>
      </w:pPr>
      <w:r>
        <w:rPr/>
        <w:t>3.1评标委员会由采购人代表和评审专家组成，成员人数应当为5人及以上单数，其中评审专家不得少于成员总数的三分之二。</w:t>
      </w:r>
    </w:p>
    <w:p>
      <w:pPr>
        <w:ind w:firstLine="480"/>
      </w:pPr>
      <w:r>
        <w:rPr/>
        <w:t>3.2评标应遵守下列评标纪律：</w:t>
      </w:r>
    </w:p>
    <w:p>
      <w:pPr>
        <w:ind w:firstLine="480"/>
      </w:pPr>
      <w:r>
        <w:rPr/>
        <w:t>（1）评标情况不得私自外泄，有关信息由</w:t>
      </w:r>
      <w:r>
        <w:rPr/>
        <w:t>广东万雄项目管理有限公司</w:t>
      </w:r>
      <w:r>
        <w:rPr/>
        <w:t>统一对外发布。</w:t>
      </w:r>
    </w:p>
    <w:p>
      <w:pPr>
        <w:ind w:firstLine="480"/>
      </w:pPr>
      <w:r>
        <w:rPr/>
        <w:t>（2）对</w:t>
      </w:r>
      <w:r>
        <w:rPr/>
        <w:t>广东万雄项目管理有限公司</w:t>
      </w:r>
      <w:r>
        <w:rPr/>
        <w:t>或投标人提供的要求保密的资料，不得摘记翻印和外传。</w:t>
      </w:r>
    </w:p>
    <w:p>
      <w:pPr>
        <w:ind w:firstLine="480"/>
      </w:pPr>
      <w:r>
        <w:rPr/>
        <w:t>（3）不得收受投标供应商或有关人员的任何礼物，不得串联鼓动其他人袒护某投标人。若与投标人存在利害关系，则应主动声明并回避。</w:t>
      </w:r>
    </w:p>
    <w:p>
      <w:pPr>
        <w:ind w:firstLine="480"/>
      </w:pPr>
      <w:r>
        <w:rPr/>
        <w:t>（4）全体评委应按照招标文件规定进行评标，一切认定事项应查有实据且不得弄虚作假。</w:t>
      </w:r>
    </w:p>
    <w:p>
      <w:pPr>
        <w:ind w:firstLine="480"/>
      </w:pPr>
      <w:r>
        <w:rPr/>
        <w:t>（5）评标委员会各成员应当独立对每个投标人的投标文件进行评价，并对评价意见承担个人责任。评审过程中，不得发表倾向性言论。</w:t>
      </w:r>
    </w:p>
    <w:p>
      <w:pPr>
        <w:ind w:firstLine="480"/>
      </w:pPr>
      <w:r>
        <w:rPr/>
        <w:t>※对违反评标纪律的评委，将取消其评委资格，对评标工作造成严重损失者将予以通报批评乃至追究法律责任。</w:t>
      </w:r>
    </w:p>
    <w:p>
      <w:r>
        <w:rPr>
          <w:b/>
          <w:sz w:val="24"/>
        </w:rPr>
        <w:t>4.有下列情形之一的，视为投标人串通投标，其投标无效；</w:t>
      </w:r>
    </w:p>
    <w:p>
      <w:pPr>
        <w:ind w:firstLine="480"/>
      </w:pPr>
      <w:r>
        <w:rPr/>
        <w:t>4.1不同投标人的投标文件由同一单位或者个人编制；</w:t>
      </w:r>
    </w:p>
    <w:p>
      <w:pPr>
        <w:ind w:firstLine="480"/>
      </w:pPr>
      <w:r>
        <w:rPr/>
        <w:t>4.2不同投标人委托同一单位或者个人办理投标事宜；</w:t>
      </w:r>
    </w:p>
    <w:p>
      <w:pPr>
        <w:ind w:firstLine="480"/>
      </w:pPr>
      <w:r>
        <w:rPr/>
        <w:t>4.3不同投标人的投标文件载明的项目管理成员或者联系人员为同一人；</w:t>
      </w:r>
    </w:p>
    <w:p>
      <w:pPr>
        <w:ind w:firstLine="480"/>
      </w:pPr>
      <w:r>
        <w:rPr/>
        <w:t>4.4不同投标人的投标文件异常一致或者投标报价呈规律性差异；</w:t>
      </w:r>
    </w:p>
    <w:p>
      <w:pPr>
        <w:ind w:firstLine="480"/>
      </w:pPr>
      <w:r>
        <w:rPr/>
        <w:t>4.5不同投标人的投标文件相互混装；</w:t>
      </w:r>
    </w:p>
    <w:p>
      <w:pPr>
        <w:ind w:firstLine="480"/>
      </w:pPr>
      <w:r>
        <w:rPr/>
        <w:t>4.6不同投标人的投标保证金或购买电子保函支付款为从同一单位或个人的账户转出；</w:t>
      </w:r>
    </w:p>
    <w:p>
      <w:pPr>
        <w:ind w:firstLine="480"/>
      </w:pPr>
      <w:r>
        <w:rPr/>
        <w:t>4.7投标人上传的电子投标文件使用该项目其他投标人的数字证书加密的或加盖该项目的其他投标人的电子印章的。</w:t>
      </w:r>
    </w:p>
    <w:p>
      <w:pPr>
        <w:ind w:firstLine="480"/>
      </w:pPr>
      <w:r>
        <w:rPr/>
        <w:t xml:space="preserve"> 说明：在评标过程中发现投标人有上述情形的，评标委员会应当认定其投标无效。同时，项目评审时被认定为串通投标的投标人不得参加该合同项下的采购活动。</w:t>
      </w:r>
    </w:p>
    <w:p>
      <w:r>
        <w:rPr>
          <w:b/>
          <w:sz w:val="24"/>
        </w:rPr>
        <w:t>5.投标无效的情形</w:t>
      </w:r>
    </w:p>
    <w:p>
      <w:pPr>
        <w:ind w:firstLine="480"/>
      </w:pPr>
      <w:r>
        <w:rPr/>
        <w:t>详见资格性审查、符合性审查和招标文件其他投标无效条款。</w:t>
      </w:r>
    </w:p>
    <w:p>
      <w:r>
        <w:rPr>
          <w:b/>
          <w:sz w:val="24"/>
        </w:rPr>
        <w:t>6.定标</w:t>
      </w:r>
    </w:p>
    <w:p>
      <w:pPr>
        <w:ind w:firstLine="480"/>
      </w:pPr>
      <w:r>
        <w:rPr/>
        <w:t>评标委员会按照招标文件确定的评标方法、步骤、标准，对投标文件进行评审。评标结束后，对投标人的评审名次进行排序，确定中标供应商或者推荐中标候选人。</w:t>
      </w:r>
    </w:p>
    <w:p>
      <w:r>
        <w:rPr>
          <w:b/>
          <w:sz w:val="24"/>
        </w:rPr>
        <w:t>7.价格修正</w:t>
      </w:r>
    </w:p>
    <w:p>
      <w:pPr>
        <w:ind w:firstLine="480"/>
      </w:pPr>
      <w:r>
        <w:rPr/>
        <w:t>对报价的计算错误按以下原则修正：</w:t>
      </w:r>
    </w:p>
    <w:p>
      <w:pPr>
        <w:ind w:firstLine="480"/>
      </w:pPr>
      <w:r>
        <w:rPr/>
        <w:t>（1）投标文件中开标一览表内容与投标文件中相应内容不一致的，以开标一览表为准；</w:t>
      </w:r>
    </w:p>
    <w:p>
      <w:pPr>
        <w:ind w:firstLine="480"/>
      </w:pPr>
      <w:r>
        <w:rPr/>
        <w:t>（2）大写金额和小写金额不一致的，以大写金额为准；</w:t>
      </w:r>
    </w:p>
    <w:p>
      <w:pPr>
        <w:ind w:firstLine="480"/>
      </w:pPr>
      <w:r>
        <w:rPr/>
        <w:t>（3）单价金额小数点或者百分比有明显错位的，以开标一览表的总价为准，并修改单价。</w:t>
      </w:r>
    </w:p>
    <w:p>
      <w:pPr>
        <w:ind w:firstLine="480"/>
      </w:pPr>
      <w:r>
        <w:rPr/>
        <w:t>（4）总价金额与按单价汇总金额不一致的，以单价金额计算结果为准。但是单价金额计算结果超过预算价的，对其按无效投标处理。</w:t>
      </w:r>
    </w:p>
    <w:p>
      <w:pPr>
        <w:ind w:firstLine="480"/>
      </w:pPr>
      <w:r>
        <w:rPr/>
        <w:t>（5）若投标客户端上传的电子报价数据与电子投标文件价格不一致的，以电子报价数据为准。</w:t>
      </w:r>
    </w:p>
    <w:p>
      <w:pPr>
        <w:ind w:firstLine="480"/>
      </w:pPr>
      <w:r>
        <w:rP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采购包1（云浮市应急物资保障体系建设补助资金（中央直达资金）项目）：</w:t>
      </w:r>
    </w:p>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581"/>
          </w:tcPr>
          <w:p>
            <w:r>
              <w:rPr/>
              <w:t>1</w:t>
            </w:r>
          </w:p>
        </w:tc>
        <w:tc>
          <w:tcPr>
            <w:tcW w:type="dxa" w:w="2160"/>
          </w:tcPr>
          <w:p>
            <w:pPr>
              <w:jc w:val="left"/>
            </w:pPr>
            <w:r>
              <w:rPr/>
              <w:t>小型、微型企业，监狱企业，残疾人福利性单位</w:t>
            </w:r>
          </w:p>
        </w:tc>
        <w:tc>
          <w:tcPr>
            <w:tcW w:type="dxa" w:w="2160"/>
          </w:tcPr>
          <w:p>
            <w:r>
              <w:rPr/>
              <w:t>货物由小微企业制造</w:t>
            </w:r>
          </w:p>
        </w:tc>
        <w:tc>
          <w:tcPr>
            <w:tcW w:type="dxa" w:w="1246"/>
          </w:tcPr>
          <w:p>
            <w:r>
              <w:rPr/>
              <w:t>10%</w:t>
            </w:r>
          </w:p>
        </w:tc>
        <w:tc>
          <w:tcPr>
            <w:tcW w:type="dxa" w:w="2160"/>
          </w:tcPr>
          <w:p>
            <w:pPr>
              <w:jc w:val="left"/>
            </w:pPr>
            <w:r>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ind w:firstLine="480"/>
      </w:pPr>
      <w:r>
        <w:rPr/>
        <w:t>说明：投标人应当对其出具的《中小企业声明函》真实性负责，投标人出具的《中小企业声明函》内容不实的，属于提供虚假材料谋取中标。</w:t>
      </w:r>
    </w:p>
    <w:p>
      <w:pPr>
        <w:ind w:firstLine="480"/>
      </w:pPr>
      <w:r>
        <w:rP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r>
        <w:rPr>
          <w:b/>
          <w:sz w:val="28"/>
        </w:rPr>
        <w:t>三、评审程序</w:t>
      </w:r>
    </w:p>
    <w:p>
      <w:r>
        <w:rPr>
          <w:b/>
          <w:sz w:val="24"/>
        </w:rPr>
        <w:t>1.资格性审查和符合性审查</w:t>
      </w:r>
    </w:p>
    <w:p>
      <w:pPr>
        <w:ind w:firstLine="480"/>
      </w:pPr>
      <w:r>
        <w:rPr/>
        <w:t>资格性审查。公开招标采购项目开标结束后，采购人或采购代理机构应当依法对投标人的资格进行审查，以确定投标人是否具备投标资格。（详见后附表一资格性审查表）</w:t>
      </w:r>
    </w:p>
    <w:p>
      <w:pPr>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ind w:firstLine="480"/>
      </w:pPr>
      <w:r>
        <w:rPr/>
        <w:t>资格性审查和符合性审查中凡有其中任意一项未通过的，评审结果为未通过，未通过资格性审查、符合性审查的投标人按无效投标处理。</w:t>
      </w:r>
    </w:p>
    <w:p>
      <w:pPr>
        <w:ind w:firstLine="480"/>
      </w:pPr>
      <w:r>
        <w:rPr/>
        <w:t>对各投标人进行资格审查和符合性审查过程中，对初步被认定为无效投标者，由评标委员会组长或采购人代表将集体意见及时告知投标当事人。</w:t>
      </w:r>
    </w:p>
    <w:p>
      <w:pPr>
        <w:ind w:firstLine="480"/>
      </w:pPr>
      <w: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rPr/>
        <w:t>合格投标人不足3家的，不得评标。</w:t>
      </w:r>
    </w:p>
    <w:p>
      <w:pPr>
        <w:ind w:firstLine="480"/>
      </w:pPr>
      <w:r>
        <w:rPr/>
        <w:t>表一资格性审查表：</w:t>
      </w:r>
    </w:p>
    <w:p>
      <w:pPr>
        <w:ind w:firstLine="480"/>
      </w:pPr>
    </w:p>
    <w:p/>
    <w:p>
      <w:r>
        <w:rPr/>
        <w:t>采购包1（云浮市应急物资保障体系建设补助资金（中央直达资金）项目）：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提供投标截止日前6个月内任意1个月依法缴纳税收和社会保障资金的凭据证明材料复印件。如依法免税或不需要缴纳社会保障资金的，提供相应证明材料。</w:t>
            </w:r>
          </w:p>
        </w:tc>
      </w:tr>
      <w:tr>
        <w:tc>
          <w:tcPr>
            <w:tcW w:type="dxa" w:w="890"/>
          </w:tcPr>
          <w:p>
            <w:r>
              <w:rPr/>
              <w:t>3</w:t>
            </w:r>
          </w:p>
        </w:tc>
        <w:tc>
          <w:tcPr>
            <w:tcW w:type="dxa" w:w="3178"/>
          </w:tcPr>
          <w:p>
            <w:r>
              <w:rPr/>
              <w:t>具有良好的商业信誉和健全的财务会计制度</w:t>
            </w:r>
          </w:p>
        </w:tc>
        <w:tc>
          <w:tcPr>
            <w:tcW w:type="dxa" w:w="4238"/>
          </w:tcPr>
          <w:p>
            <w:r>
              <w:rPr/>
              <w:t>提供第三方有资质会计师事务所出具的2020年或2021年年度财务状况报告复印件；或2022年1月至今任意一个月的财务报表复印件（利润表、资产负债表、现金流量表）；或银行出具的资信证明材料复印件。</w:t>
            </w:r>
          </w:p>
        </w:tc>
      </w:tr>
      <w:tr>
        <w:tc>
          <w:tcPr>
            <w:tcW w:type="dxa" w:w="890"/>
          </w:tcPr>
          <w:p>
            <w:r>
              <w:rPr/>
              <w:t>4</w:t>
            </w:r>
          </w:p>
        </w:tc>
        <w:tc>
          <w:tcPr>
            <w:tcW w:type="dxa" w:w="3178"/>
          </w:tcPr>
          <w:p>
            <w:r>
              <w:rPr/>
              <w:t>履行合同所必需的设备和专业技术能力</w:t>
            </w:r>
          </w:p>
        </w:tc>
        <w:tc>
          <w:tcPr>
            <w:tcW w:type="dxa" w:w="4238"/>
          </w:tcPr>
          <w:p>
            <w:r>
              <w:rPr/>
              <w:t>按投标（响应）文件格式填报设备及专业技术能力情况。</w:t>
            </w:r>
          </w:p>
        </w:tc>
      </w:tr>
      <w:tr>
        <w:tc>
          <w:tcPr>
            <w:tcW w:type="dxa" w:w="890"/>
          </w:tcPr>
          <w:p>
            <w:r>
              <w:rPr/>
              <w:t>5</w:t>
            </w:r>
          </w:p>
        </w:tc>
        <w:tc>
          <w:tcPr>
            <w:tcW w:type="dxa" w:w="3178"/>
          </w:tcPr>
          <w:p>
            <w:r>
              <w:rPr/>
              <w:t>参加采购活动前3年内，在经营活动中没有重大违法记录</w:t>
            </w:r>
          </w:p>
        </w:tc>
        <w:tc>
          <w:tcPr>
            <w:tcW w:type="dxa" w:w="4238"/>
          </w:tcPr>
          <w:p>
            <w:r>
              <w:rPr/>
              <w:t>参照投标（报价）函相关承诺格式内容。重大违法记录，是指投标人因违法经营受到刑事处罚或者责令停产停业、吊销许可证或者执照、较大数额罚款等行政处罚。根据财库〔2022〕3号文规定，“较大数额罚款”是指认定为200万元以上的罚款，但法律、行政法规以及国务院有关部门明确规定相关领域“较大数额罚款”标准高于200万元的，则从其规定。</w:t>
            </w:r>
          </w:p>
        </w:tc>
      </w:tr>
      <w:tr>
        <w:tc>
          <w:tcPr>
            <w:tcW w:type="dxa" w:w="890"/>
          </w:tcPr>
          <w:p>
            <w:r>
              <w:rPr/>
              <w:t>6</w:t>
            </w:r>
          </w:p>
        </w:tc>
        <w:tc>
          <w:tcPr>
            <w:tcW w:type="dxa" w:w="3178"/>
          </w:tcPr>
          <w:p>
            <w:r>
              <w:rPr/>
              <w:t>信用记录</w:t>
            </w:r>
          </w:p>
        </w:tc>
        <w:tc>
          <w:tcPr>
            <w:tcW w:type="dxa" w:w="4238"/>
          </w:tcPr>
          <w:p>
            <w:r>
              <w:rPr/>
              <w:t>投标人未被列入“信用中国”网站（www.creditchina.gov.cn）以下任意记录名单之一：①失信被执行人；②税收违法黑名单；③政府采购严重违法失信行为。同时，不处于中国政府采购网（www.ccgp.gov.cn）“政府采购严重违法失信行为信息记录名单”中的禁止参加政府采购活动期间，提供查询结果截图证明。【说明：①由采购人、采购代理机构于投标截止日在“信用中国”网站及中国政府采购网查询结果为准，如查询结果显示“没有找到您搜索的数据”或“没有该企业的相关记录”，视为没有上述不良信用记录，如相关失信记录已失效，投标人须提供相关证明资料；②采购代理机构同时对信用信息查询记录和证据截图或下载存档。】</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管理关系的不同投标人，不得同时参加本采购项目（或采购包）投标（响应）。为本项目提供整体设计、规范编制或者项目管理、监理、检测等服务的投标人，不得再参与本项目投标（响应）。投标（报价）函相关承诺要求内容。</w:t>
            </w:r>
          </w:p>
        </w:tc>
      </w:tr>
      <w:tr>
        <w:tc>
          <w:tcPr>
            <w:tcW w:type="dxa" w:w="890"/>
          </w:tcPr>
          <w:p>
            <w:r>
              <w:rPr/>
              <w:t>8</w:t>
            </w:r>
          </w:p>
        </w:tc>
        <w:tc>
          <w:tcPr>
            <w:tcW w:type="dxa" w:w="3178"/>
          </w:tcPr>
          <w:p>
            <w:r>
              <w:rPr/>
              <w:t>落实政府采购政策需满足的资格要求</w:t>
            </w:r>
          </w:p>
        </w:tc>
        <w:tc>
          <w:tcPr>
            <w:tcW w:type="dxa" w:w="4238"/>
          </w:tcPr>
          <w:p>
            <w:r>
              <w:rPr/>
              <w:t>云浮市应急物资保障体系建设补助资金（中央直达资金）项目（以下简称应急物资项目），由于：一是该项目资金来源于中央直达资金，采购标的金额较大，且在合同期满后中标人按照储备物资合同价值向采购人等值回购储备物资，需要中标人具备一定的资金实力和良好的经营管理能力，才能确保在合同期满后能及时支付等值回购资金；二是该项目主要采购疫情防控应急物资，需要中标人具有快速的应急响应能力，在需要动用物资时能有效落实调拨指令，准确及时地将应急物资配送到位；三是该项目采购的物资有保质期限的，需要中标人具有较大和符合规定的储备仓库、以及畅通的销售渠道才能保证完成物资的代储、代轮换任务，从而确保物资储存安全和常储常新，在发生应急调用时调得动、用得上。所以，为确保资金安全及落实好防控应急物资任务，现根据《政府采购促进中小企业发展管理办法》（财库﹝2020﹞46号）第六条第（三）款的规定“按照本办法规定预留采购份额无法确定充分供应、充分竞争，或者存在可能影响政府采购目标实现的情形”，本采购项目不专门面向中小企业预留采购份额。</w:t>
            </w:r>
          </w:p>
        </w:tc>
      </w:tr>
    </w:tbl>
    <w:p/>
    <w:p>
      <w:pPr>
        <w:ind w:firstLine="480"/>
      </w:pPr>
      <w:r>
        <w:rPr/>
        <w:t>表二符合性审查表：</w:t>
      </w:r>
    </w:p>
    <w:p>
      <w:pPr>
        <w:ind w:firstLine="480"/>
      </w:pPr>
    </w:p>
    <w:p/>
    <w:p>
      <w:r>
        <w:rPr/>
        <w:t>采购包1（云浮市应急物资保障体系建设补助资金（中央直达资金）项目）：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投标文件的签署和盖章</w:t>
            </w:r>
          </w:p>
        </w:tc>
        <w:tc>
          <w:tcPr>
            <w:tcW w:type="dxa" w:w="4238"/>
          </w:tcPr>
          <w:p>
            <w:r>
              <w:rPr/>
              <w:t>投标文件完整，符合招标文件的密封、签署和盖章要求。</w:t>
            </w:r>
          </w:p>
        </w:tc>
      </w:tr>
      <w:tr>
        <w:tc>
          <w:tcPr>
            <w:tcW w:type="dxa" w:w="890"/>
          </w:tcPr>
          <w:p>
            <w:r>
              <w:rPr/>
              <w:t>2</w:t>
            </w:r>
          </w:p>
        </w:tc>
        <w:tc>
          <w:tcPr>
            <w:tcW w:type="dxa" w:w="3178"/>
          </w:tcPr>
          <w:p>
            <w:r>
              <w:rPr/>
              <w:t>投标有效期</w:t>
            </w:r>
          </w:p>
        </w:tc>
        <w:tc>
          <w:tcPr>
            <w:tcW w:type="dxa" w:w="4238"/>
          </w:tcPr>
          <w:p>
            <w:r>
              <w:rPr/>
              <w:t>投标有效期满足招标文件要求（90天）。</w:t>
            </w:r>
          </w:p>
        </w:tc>
      </w:tr>
      <w:tr>
        <w:tc>
          <w:tcPr>
            <w:tcW w:type="dxa" w:w="890"/>
          </w:tcPr>
          <w:p>
            <w:r>
              <w:rPr/>
              <w:t>3</w:t>
            </w:r>
          </w:p>
        </w:tc>
        <w:tc>
          <w:tcPr>
            <w:tcW w:type="dxa" w:w="3178"/>
          </w:tcPr>
          <w:p>
            <w:r>
              <w:rPr/>
              <w:t>投标报价要求</w:t>
            </w:r>
          </w:p>
        </w:tc>
        <w:tc>
          <w:tcPr>
            <w:tcW w:type="dxa" w:w="4238"/>
          </w:tcPr>
          <w:p>
            <w:r>
              <w:rPr/>
              <w:t>投标报价是固定价且是唯一的，不超过本项目最高限价。</w:t>
            </w:r>
          </w:p>
        </w:tc>
      </w:tr>
      <w:tr>
        <w:tc>
          <w:tcPr>
            <w:tcW w:type="dxa" w:w="890"/>
          </w:tcPr>
          <w:p>
            <w:r>
              <w:rPr/>
              <w:t>4</w:t>
            </w:r>
          </w:p>
        </w:tc>
        <w:tc>
          <w:tcPr>
            <w:tcW w:type="dxa" w:w="3178"/>
          </w:tcPr>
          <w:p>
            <w:r>
              <w:rPr/>
              <w:t>投标报价合理性</w:t>
            </w:r>
          </w:p>
        </w:tc>
        <w:tc>
          <w:tcPr>
            <w:tcW w:type="dxa" w:w="4238"/>
          </w:tcPr>
          <w:p>
            <w:r>
              <w:rPr/>
              <w:t>不存在低于成本价的报价或报价明显不合理且投标人不能提供合理说明的情况。</w:t>
            </w:r>
          </w:p>
        </w:tc>
      </w:tr>
      <w:tr>
        <w:tc>
          <w:tcPr>
            <w:tcW w:type="dxa" w:w="890"/>
          </w:tcPr>
          <w:p>
            <w:r>
              <w:rPr/>
              <w:t>5</w:t>
            </w:r>
          </w:p>
        </w:tc>
        <w:tc>
          <w:tcPr>
            <w:tcW w:type="dxa" w:w="3178"/>
          </w:tcPr>
          <w:p>
            <w:r>
              <w:rPr/>
              <w:t>实质性条款响应</w:t>
            </w:r>
          </w:p>
        </w:tc>
        <w:tc>
          <w:tcPr>
            <w:tcW w:type="dxa" w:w="4238"/>
          </w:tcPr>
          <w:p>
            <w:r>
              <w:rPr/>
              <w:t>满足“第二章采购需求”中的“★”号条款要求。</w:t>
            </w:r>
          </w:p>
        </w:tc>
      </w:tr>
      <w:tr>
        <w:tc>
          <w:tcPr>
            <w:tcW w:type="dxa" w:w="890"/>
          </w:tcPr>
          <w:p>
            <w:r>
              <w:rPr/>
              <w:t>6</w:t>
            </w:r>
          </w:p>
        </w:tc>
        <w:tc>
          <w:tcPr>
            <w:tcW w:type="dxa" w:w="3178"/>
          </w:tcPr>
          <w:p>
            <w:r>
              <w:rPr/>
              <w:t>附加条件</w:t>
            </w:r>
          </w:p>
        </w:tc>
        <w:tc>
          <w:tcPr>
            <w:tcW w:type="dxa" w:w="4238"/>
          </w:tcPr>
          <w:p>
            <w:r>
              <w:rPr/>
              <w:t>投标文件没有采购人不能接受的附加条件。</w:t>
            </w:r>
          </w:p>
        </w:tc>
      </w:tr>
      <w:tr>
        <w:tc>
          <w:tcPr>
            <w:tcW w:type="dxa" w:w="890"/>
          </w:tcPr>
          <w:p>
            <w:r>
              <w:rPr/>
              <w:t>7</w:t>
            </w:r>
          </w:p>
        </w:tc>
        <w:tc>
          <w:tcPr>
            <w:tcW w:type="dxa" w:w="3178"/>
          </w:tcPr>
          <w:p>
            <w:r>
              <w:rPr/>
              <w:t>其他要求</w:t>
            </w:r>
          </w:p>
        </w:tc>
        <w:tc>
          <w:tcPr>
            <w:tcW w:type="dxa" w:w="4238"/>
          </w:tcPr>
          <w:p>
            <w:r>
              <w:rPr/>
              <w:t>没有不符合法律、法规规定的其他实质性要求。</w:t>
            </w:r>
          </w:p>
        </w:tc>
      </w:tr>
    </w:tbl>
    <w:p/>
    <w:p>
      <w:r>
        <w:rPr>
          <w:b/>
          <w:sz w:val="24"/>
        </w:rPr>
        <w:t>2.投标文件澄清</w:t>
      </w:r>
    </w:p>
    <w:p>
      <w:pPr>
        <w:ind w:firstLine="480"/>
      </w:pPr>
      <w:r>
        <w:rPr/>
        <w:t>2.1对于投标文件中含义不明确、同类问题表述不一致或者有明显文字和计算错误的内容，评标委员会可在评审过程中发起在线澄清，要求投标人针对价格或内容做出必要的澄清、说明或补正。代理机构可根据开标环节记录的授权代表人联系方式发送短信提醒或电话告知。</w:t>
      </w:r>
    </w:p>
    <w:p>
      <w:pPr>
        <w:ind w:firstLine="480"/>
      </w:pPr>
      <w:r>
        <w:rPr/>
        <w:t>投标人需登录广东政府采购智慧云平台项目采购系统的等候大厅，在规定时间内完成澄清（响应），并加盖电子印章。</w:t>
      </w:r>
    </w:p>
    <w:p>
      <w:pPr>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ind w:firstLine="480"/>
      </w:pPr>
      <w:r>
        <w:rPr/>
        <w:t>2.2评标委员会不接受投标人主动提出的澄清、说明或补正。</w:t>
      </w:r>
    </w:p>
    <w:p>
      <w:pPr>
        <w:ind w:firstLine="480"/>
      </w:pPr>
      <w:r>
        <w:rPr/>
        <w:t>2.3评标委员会对投标人提交的澄清、说明或补正有疑问的，可以要求投标人进一步澄清、说明或补正。</w:t>
      </w:r>
    </w:p>
    <w:p>
      <w:r>
        <w:rPr>
          <w:b/>
          <w:sz w:val="24"/>
        </w:rPr>
        <w:t>3.详细评审</w:t>
      </w:r>
    </w:p>
    <w:p>
      <w:pPr>
        <w:ind w:firstLine="480"/>
      </w:pPr>
    </w:p>
    <w:p/>
    <w:p/>
    <w:p>
      <w:r>
        <w:rPr/>
        <w:t>采购包1云浮市应急物资保障体系建设补助资金（中央直达资金）项目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商务部分25.0分</w:t>
            </w:r>
          </w:p>
          <w:p>
            <w:r>
              <w:rPr/>
              <w:t>技术部分45.0分</w:t>
            </w:r>
          </w:p>
          <w:p>
            <w:r>
              <w:rPr/>
              <w:t>报价得分30.0分</w:t>
            </w:r>
          </w:p>
        </w:tc>
      </w:tr>
      <w:tr>
        <w:tc>
          <w:tcPr>
            <w:tcW w:type="dxa" w:w="922"/>
            <w:gridSpan w:val="2"/>
            <w:vMerge w:val="restart"/>
          </w:tcPr>
          <w:p>
            <w:pPr>
              <w:jc w:val="center"/>
            </w:pPr>
            <w:r>
              <w:rPr/>
              <w:t>技术部分</w:t>
            </w:r>
          </w:p>
        </w:tc>
        <w:tc>
          <w:tcPr>
            <w:tcW w:type="dxa" w:w="2307"/>
          </w:tcPr>
          <w:p>
            <w:pPr>
              <w:jc w:val="left"/>
            </w:pPr>
            <w:r>
              <w:rPr/>
              <w:t>产品质量保证措施1 (3.0分)</w:t>
            </w:r>
          </w:p>
        </w:tc>
        <w:tc>
          <w:tcPr>
            <w:tcW w:type="dxa" w:w="5076"/>
          </w:tcPr>
          <w:p>
            <w:pPr>
              <w:jc w:val="left"/>
            </w:pPr>
            <w:r>
              <w:rPr/>
              <w:t>投标人提出的质量保证措施： 1、措施完整，针对性强，完全适用本项目需求，得3分； 2、措施基本完整，针对性较强，完全适用本项目需求，得2分； 3、措施不太完整，针对性不强，不完全适用本项目需求，得1分； 4、不提供措施或其他，得0分。</w:t>
            </w:r>
          </w:p>
        </w:tc>
      </w:tr>
      <w:tr>
        <w:tc>
          <w:tcPr>
            <w:tcW w:type="dxa" w:w="922"/>
            <w:gridSpan w:val="2"/>
            <w:vMerge/>
          </w:tcPr>
          <w:p/>
        </w:tc>
        <w:tc>
          <w:tcPr>
            <w:tcW w:type="dxa" w:w="2307"/>
          </w:tcPr>
          <w:p>
            <w:pPr>
              <w:jc w:val="left"/>
            </w:pPr>
            <w:r>
              <w:rPr/>
              <w:t>产品质量保证措施2 (7.0分)</w:t>
            </w:r>
          </w:p>
        </w:tc>
        <w:tc>
          <w:tcPr>
            <w:tcW w:type="dxa" w:w="5076"/>
          </w:tcPr>
          <w:p>
            <w:pPr>
              <w:jc w:val="left"/>
            </w:pPr>
            <w:r>
              <w:rPr/>
              <w:t>针对投标人所承储的产品质量，进行评审： 1、完全按照技术参数要求提供第三方检测报告的，得7分； 2、投标人所承储的产品可提供部分（5～8份）符合参数要求的第三方检测报告，得4分； 3、投标人所承储产品可提供部分（少于5份）符合参数要求的第三方检测报告，得0分。</w:t>
            </w:r>
          </w:p>
        </w:tc>
      </w:tr>
      <w:tr>
        <w:tc>
          <w:tcPr>
            <w:tcW w:type="dxa" w:w="922"/>
            <w:gridSpan w:val="2"/>
            <w:vMerge/>
          </w:tcPr>
          <w:p/>
        </w:tc>
        <w:tc>
          <w:tcPr>
            <w:tcW w:type="dxa" w:w="2307"/>
          </w:tcPr>
          <w:p>
            <w:pPr>
              <w:jc w:val="left"/>
            </w:pPr>
            <w:r>
              <w:rPr/>
              <w:t>储备方案 (5.0分)</w:t>
            </w:r>
          </w:p>
        </w:tc>
        <w:tc>
          <w:tcPr>
            <w:tcW w:type="dxa" w:w="5076"/>
          </w:tcPr>
          <w:p>
            <w:pPr>
              <w:jc w:val="left"/>
            </w:pPr>
            <w:r>
              <w:rPr/>
              <w:t>投标人提出的储备方案进行评审： 1、储备方案可靠、针对性强，储存地集中，信息化、自动化程度高，完全适用或优于本项目需求，得5分； 2、储备方案完整、有针对性，储存地较集中，具备基础信息化、自动化条件，完全适用本项目需求，得4分； 3、储备方案基本完整，有针对性，但储存地分散，或无信息化、自动化条件，不完全使用本项目需求，得3分； 4、储备方案不完整或缺乏针对性，或不提供方案，得0分。</w:t>
            </w:r>
          </w:p>
        </w:tc>
      </w:tr>
      <w:tr>
        <w:tc>
          <w:tcPr>
            <w:tcW w:type="dxa" w:w="922"/>
            <w:gridSpan w:val="2"/>
            <w:vMerge/>
          </w:tcPr>
          <w:p/>
        </w:tc>
        <w:tc>
          <w:tcPr>
            <w:tcW w:type="dxa" w:w="2307"/>
          </w:tcPr>
          <w:p>
            <w:pPr>
              <w:jc w:val="left"/>
            </w:pPr>
            <w:r>
              <w:rPr/>
              <w:t>应急方案 (8.0分)</w:t>
            </w:r>
          </w:p>
        </w:tc>
        <w:tc>
          <w:tcPr>
            <w:tcW w:type="dxa" w:w="5076"/>
          </w:tcPr>
          <w:p>
            <w:pPr>
              <w:jc w:val="left"/>
            </w:pPr>
            <w:r>
              <w:rPr/>
              <w:t>为遇到紧急突发配送情况作准备，根据投标人制定的应急配送方案进行评审： 1、应急配送方案全面、具体、合理、完全适用或优于本项目需求，且承诺接到调拨指令6小时内配送到采购人指定地方的，得8分； 2、应急配送方案较全面、较具体、较合理、完全适用本项目需求，且承诺接到调拨指令8小时内配送到采购人指定地方的，得5分； 3、应急配送方案合理性一般、较简单，但承诺接到调拨指令8小时内配送到采购人指定地方的，得2分； 4、不提供配送方案，得0分。</w:t>
            </w:r>
          </w:p>
        </w:tc>
      </w:tr>
      <w:tr>
        <w:tc>
          <w:tcPr>
            <w:tcW w:type="dxa" w:w="922"/>
            <w:gridSpan w:val="2"/>
            <w:vMerge/>
          </w:tcPr>
          <w:p/>
        </w:tc>
        <w:tc>
          <w:tcPr>
            <w:tcW w:type="dxa" w:w="2307"/>
          </w:tcPr>
          <w:p>
            <w:pPr>
              <w:jc w:val="left"/>
            </w:pPr>
            <w:r>
              <w:rPr/>
              <w:t>供货配送能力 (6.0分)</w:t>
            </w:r>
          </w:p>
        </w:tc>
        <w:tc>
          <w:tcPr>
            <w:tcW w:type="dxa" w:w="5076"/>
          </w:tcPr>
          <w:p>
            <w:pPr>
              <w:jc w:val="left"/>
            </w:pPr>
            <w:r>
              <w:rPr/>
              <w:t>为确保项目履行，1、投标人自有厢式货车，每提供1辆得1分； 2、非自有车辆投标人与物流公司签订不少于1年合同的，每提供1家得1分。 本项最高得6分。 注：自有车辆必须提供车辆产权登记证或车辆行驶证复印件加盖投标人公章；需提供与物流公司签订的合同复印件加盖投标人公章，合同须含有或提供承诺书，承诺中标后补充以下条款：在紧急情况下物流公司可提供5辆以上货车配送。</w:t>
            </w:r>
          </w:p>
        </w:tc>
      </w:tr>
      <w:tr>
        <w:tc>
          <w:tcPr>
            <w:tcW w:type="dxa" w:w="922"/>
            <w:gridSpan w:val="2"/>
            <w:vMerge/>
          </w:tcPr>
          <w:p/>
        </w:tc>
        <w:tc>
          <w:tcPr>
            <w:tcW w:type="dxa" w:w="2307"/>
          </w:tcPr>
          <w:p>
            <w:pPr>
              <w:jc w:val="left"/>
            </w:pPr>
            <w:r>
              <w:rPr/>
              <w:t>物资补库方案 (5.0分)</w:t>
            </w:r>
          </w:p>
        </w:tc>
        <w:tc>
          <w:tcPr>
            <w:tcW w:type="dxa" w:w="5076"/>
          </w:tcPr>
          <w:p>
            <w:pPr>
              <w:jc w:val="left"/>
            </w:pPr>
            <w:r>
              <w:rPr/>
              <w:t>1、物资补库方案具体可靠，针对性强，完全适用或优于本项目需求，且承诺1个月内可将动用物资补库到位的，得5分； 2、物资补库方案基本完整，有针对性，完全适用本项目需求，且承诺2个月内可将动用物资补库到位的，得3分； 3、物资补库方案不完整，无针对性，不完全满足项目需求，或不能承诺2个月内可将动用物资补库到位的，得1分； 4、不提供物资补库方案，得0分。</w:t>
            </w:r>
          </w:p>
        </w:tc>
      </w:tr>
      <w:tr>
        <w:tc>
          <w:tcPr>
            <w:tcW w:type="dxa" w:w="922"/>
            <w:gridSpan w:val="2"/>
            <w:vMerge/>
          </w:tcPr>
          <w:p/>
        </w:tc>
        <w:tc>
          <w:tcPr>
            <w:tcW w:type="dxa" w:w="2307"/>
          </w:tcPr>
          <w:p>
            <w:pPr>
              <w:jc w:val="left"/>
            </w:pPr>
            <w:r>
              <w:rPr/>
              <w:t>日常管理 (5.0分)</w:t>
            </w:r>
          </w:p>
        </w:tc>
        <w:tc>
          <w:tcPr>
            <w:tcW w:type="dxa" w:w="5076"/>
          </w:tcPr>
          <w:p>
            <w:pPr>
              <w:jc w:val="left"/>
            </w:pPr>
            <w:r>
              <w:rPr/>
              <w:t>投标人日常管理规范程度进行评审： 1、有制定企业内控管理相关制度，内容完善、规范，完全适用或优于本项目需求，得5分； 2、有制定企业内控管理相关制度，内容基本完善、较规范，完全适用本项目需求，得3分； 3、没有制定企业内控管理相关制度，得0分。</w:t>
            </w:r>
          </w:p>
        </w:tc>
      </w:tr>
      <w:tr>
        <w:tc>
          <w:tcPr>
            <w:tcW w:type="dxa" w:w="922"/>
            <w:gridSpan w:val="2"/>
            <w:vMerge/>
          </w:tcPr>
          <w:p/>
        </w:tc>
        <w:tc>
          <w:tcPr>
            <w:tcW w:type="dxa" w:w="2307"/>
          </w:tcPr>
          <w:p>
            <w:pPr>
              <w:jc w:val="left"/>
            </w:pPr>
            <w:r>
              <w:rPr/>
              <w:t>物资入库响应时间 (6.0分)</w:t>
            </w:r>
          </w:p>
        </w:tc>
        <w:tc>
          <w:tcPr>
            <w:tcW w:type="dxa" w:w="5076"/>
          </w:tcPr>
          <w:p>
            <w:pPr>
              <w:jc w:val="left"/>
            </w:pPr>
            <w:r>
              <w:rPr/>
              <w:t>根据投标人承诺物资入库完成时间进行评审： 1、投标人提供承诺书，承诺合同签订之日起20天完成所有产品入库，得4分，每提前1天完成所有产品入库，加1分，本项最高得6分； 2、合同签订之日起大于20天完成所有产品入库，得0分。 注：必须提供入库响应时间承诺文件，否则不得分。</w:t>
            </w:r>
          </w:p>
        </w:tc>
      </w:tr>
      <w:tr>
        <w:tc>
          <w:tcPr>
            <w:tcW w:type="dxa" w:w="922"/>
            <w:gridSpan w:val="2"/>
            <w:vMerge w:val="restart"/>
          </w:tcPr>
          <w:p>
            <w:pPr>
              <w:jc w:val="center"/>
            </w:pPr>
            <w:r>
              <w:rPr/>
              <w:t>商务部分</w:t>
            </w:r>
          </w:p>
        </w:tc>
        <w:tc>
          <w:tcPr>
            <w:tcW w:type="dxa" w:w="2307"/>
          </w:tcPr>
          <w:p>
            <w:pPr>
              <w:jc w:val="left"/>
            </w:pPr>
            <w:r>
              <w:rPr/>
              <w:t>物资周转能力 (5.0分)</w:t>
            </w:r>
          </w:p>
        </w:tc>
        <w:tc>
          <w:tcPr>
            <w:tcW w:type="dxa" w:w="5076"/>
          </w:tcPr>
          <w:p>
            <w:pPr>
              <w:jc w:val="left"/>
            </w:pPr>
            <w:r>
              <w:rPr/>
              <w:t>对投标人物资周转能力进行评审： 1、已签订2022年1-8月份销售合同物资金额累计大于或等于本项目储备金额的80%，得5分； 2、已签订2022年1-8月份销售合同物资金额累计高于或等于本项目储备金额的60%但低于本项目储备金额80%的，得3分； 3、已签订2022年1-8月份销售合同物资金额累计高于或等于本项目储备金额的40%但低于本项目储备金额60%的，得2分； 4、已签订2022年1-8月份销售合同物资金额累计低于本项目储备金额的40%的得0分； 注：投标人应提供合同关键页复印件（加盖投标人公章），关键页指：合同项目名称、合同金额、签订合同双方的落款盖章页面。</w:t>
            </w:r>
          </w:p>
        </w:tc>
      </w:tr>
      <w:tr>
        <w:tc>
          <w:tcPr>
            <w:tcW w:type="dxa" w:w="922"/>
            <w:gridSpan w:val="2"/>
            <w:vMerge/>
          </w:tcPr>
          <w:p/>
        </w:tc>
        <w:tc>
          <w:tcPr>
            <w:tcW w:type="dxa" w:w="2307"/>
          </w:tcPr>
          <w:p>
            <w:pPr>
              <w:jc w:val="left"/>
            </w:pPr>
            <w:r>
              <w:rPr/>
              <w:t>履约能力 (5.0分)</w:t>
            </w:r>
          </w:p>
        </w:tc>
        <w:tc>
          <w:tcPr>
            <w:tcW w:type="dxa" w:w="5076"/>
          </w:tcPr>
          <w:p>
            <w:pPr>
              <w:jc w:val="left"/>
            </w:pPr>
            <w:r>
              <w:rPr/>
              <w:t>对投标人履约能力进行评审： 1、生产型企业产业链完备、产能备份大的，或者经营性企业经营产品齐备、采购渠道畅通的，对物资需求突发性变化（包括需求增加及减少）有应对预案，预案完整，针对性强，完全满足且优于用户需求的，得5分； 2、生产型企业产业链较完备、产能备份较大的，或者经营性企业经营产品较齐备、采购渠道较畅通的，对物资需求突发性变化（包括需求增加及减少）有应对预案的，预案较完整，针对性较强，完全满足用户需求的，得4分； 3、生产型企业产业链完备、产能备份比较大的，或者经营性企业经营产品比较齐备、采购渠道比较畅通的，对物资需求突发性变化（包括需求增加及减少）有应对预案的，有应对预案的，预案不完整，针对性不强，不完全满足用户需求的，得3分； 4、不满足用户需求或其他情况，得0分。</w:t>
            </w:r>
          </w:p>
        </w:tc>
      </w:tr>
      <w:tr>
        <w:tc>
          <w:tcPr>
            <w:tcW w:type="dxa" w:w="922"/>
            <w:gridSpan w:val="2"/>
            <w:vMerge/>
          </w:tcPr>
          <w:p/>
        </w:tc>
        <w:tc>
          <w:tcPr>
            <w:tcW w:type="dxa" w:w="2307"/>
          </w:tcPr>
          <w:p>
            <w:pPr>
              <w:jc w:val="left"/>
            </w:pPr>
            <w:r>
              <w:rPr/>
              <w:t>同类物资储备业绩经验 (4.0分)</w:t>
            </w:r>
          </w:p>
        </w:tc>
        <w:tc>
          <w:tcPr>
            <w:tcW w:type="dxa" w:w="5076"/>
          </w:tcPr>
          <w:p>
            <w:pPr>
              <w:jc w:val="left"/>
            </w:pPr>
            <w:r>
              <w:rPr/>
              <w:t>提供2020年至今（以合同签订时间为准）同类物资储备项目业绩，每提供1个同类物资储备项目业绩得1分，本项最高得4分。 注：需提供合同复印件加盖公章作为证明材料，不提供不得分。</w:t>
            </w:r>
          </w:p>
        </w:tc>
      </w:tr>
      <w:tr>
        <w:tc>
          <w:tcPr>
            <w:tcW w:type="dxa" w:w="922"/>
            <w:gridSpan w:val="2"/>
            <w:vMerge/>
          </w:tcPr>
          <w:p/>
        </w:tc>
        <w:tc>
          <w:tcPr>
            <w:tcW w:type="dxa" w:w="2307"/>
          </w:tcPr>
          <w:p>
            <w:pPr>
              <w:jc w:val="left"/>
            </w:pPr>
            <w:r>
              <w:rPr/>
              <w:t>企业信誉 (6.0分)</w:t>
            </w:r>
          </w:p>
        </w:tc>
        <w:tc>
          <w:tcPr>
            <w:tcW w:type="dxa" w:w="5076"/>
          </w:tcPr>
          <w:p>
            <w:pPr>
              <w:jc w:val="left"/>
            </w:pPr>
            <w:r>
              <w:rPr/>
              <w:t>投标人提供由国家认证认可监督管理部门批准设立的认证机构颁发的有效期内的医疗器械质量管理体系认证证书、质量管理体系认证证书、职业健康安全管理认证体系证书，每提供一项得2分，最高6分。 注：以上各项证书须同时提供“国家市场监督管理总局 全国认证认可信息公共服务平台（http://cx.cnca.cn/）”信息查询截图和认证证书复印件加盖投标人公章作为评审依据，不提供不得分。</w:t>
            </w:r>
          </w:p>
        </w:tc>
      </w:tr>
      <w:tr>
        <w:tc>
          <w:tcPr>
            <w:tcW w:type="dxa" w:w="922"/>
            <w:gridSpan w:val="2"/>
            <w:vMerge/>
          </w:tcPr>
          <w:p/>
        </w:tc>
        <w:tc>
          <w:tcPr>
            <w:tcW w:type="dxa" w:w="2307"/>
          </w:tcPr>
          <w:p>
            <w:pPr>
              <w:jc w:val="left"/>
            </w:pPr>
            <w:r>
              <w:rPr/>
              <w:t>仓储能力 (5.0分)</w:t>
            </w:r>
          </w:p>
        </w:tc>
        <w:tc>
          <w:tcPr>
            <w:tcW w:type="dxa" w:w="5076"/>
          </w:tcPr>
          <w:p>
            <w:pPr>
              <w:jc w:val="left"/>
            </w:pPr>
            <w:r>
              <w:rPr/>
              <w:t>对投标人仓储能力进行评审： 1、投标人自有仓库或租赁仓库剩余合同期超过1年，可实现专区、专堆储存的，得5分； 2、投标人租赁仓库剩余合同期达到0.5年但不足1年，可实现专区、专堆储存的，得3分； 3、其他情况，得0分。 注：需同时提供仓库自有或租赁合同复印件（如投标人租赁仓库剩余不足1年的，须提供承诺书，承诺签订合同后续签）和仓库专区的图片（或提供承诺书，承诺签订合同后实现专库、专区、专堆储存）。</w:t>
            </w:r>
          </w:p>
        </w:tc>
      </w:tr>
      <w:tr>
        <w:tc>
          <w:tcPr>
            <w:tcW w:type="dxa" w:w="922"/>
            <w:gridSpan w:val="2"/>
          </w:tcPr>
          <w:p>
            <w:pPr>
              <w:jc w:val="center"/>
            </w:pPr>
            <w:r>
              <w:rPr/>
              <w:t>投标报价</w:t>
            </w:r>
          </w:p>
        </w:tc>
        <w:tc>
          <w:tcPr>
            <w:tcW w:type="dxa" w:w="2307"/>
          </w:tcPr>
          <w:p>
            <w:pPr>
              <w:jc w:val="left"/>
            </w:pPr>
            <w:r>
              <w:rPr/>
              <w:t>投标报价得分 (30.0分)</w:t>
            </w:r>
          </w:p>
        </w:tc>
        <w:tc>
          <w:tcPr>
            <w:tcW w:type="dxa" w:w="5076"/>
          </w:tcPr>
          <w:p>
            <w:pPr>
              <w:jc w:val="left"/>
            </w:pPr>
            <w:r>
              <w:rPr/>
              <w:t>投标报价得分＝（评标基准价/投标报价）×价格分值（注：满足招标文件要求且投标价格最低的投标报价为评标基准价。）最低报价不是中标的唯一依据。 因落实政府采购政策进行价格调整的，以调整后的价格计算评标基准价和投标报价。</w:t>
            </w:r>
          </w:p>
        </w:tc>
      </w:tr>
    </w:tbl>
    <w:p/>
    <w:p>
      <w:r>
        <w:rPr>
          <w:b/>
          <w:sz w:val="24"/>
        </w:rPr>
        <w:t>4.汇总、排序</w:t>
      </w:r>
    </w:p>
    <w:p>
      <w:pPr>
        <w:ind w:firstLine="480"/>
      </w:pPr>
    </w:p>
    <w:p/>
    <w:p>
      <w:r>
        <w:rPr/>
        <w:t>采购包1：</w:t>
      </w:r>
    </w:p>
    <w:p/>
    <w:p>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b/>
          <w:sz w:val="24"/>
        </w:rPr>
        <w:t>5.中标价的确定</w:t>
      </w:r>
    </w:p>
    <w:p>
      <w:pPr>
        <w:ind w:firstLine="480"/>
      </w:pPr>
      <w:r>
        <w:rPr/>
        <w:t>除了按第四章第一点第7条修正并经投标人确认的投标报价作为中标价外，中标价以开标时公开唱标价为准。</w:t>
      </w:r>
    </w:p>
    <w:p>
      <w:r>
        <w:rPr>
          <w:b/>
          <w:sz w:val="24"/>
        </w:rPr>
        <w:t>6.其他无效投标的情形：</w:t>
      </w:r>
    </w:p>
    <w:p>
      <w:pPr>
        <w:ind w:firstLine="480"/>
      </w:pPr>
      <w:r>
        <w:rPr/>
        <w:t>(1)评标期间，投标人没有按评标委员会的要求提交法定代表人或其委托代理人签字的澄清、说明、补正或改变了投标文件的实质性内容的。</w:t>
      </w:r>
    </w:p>
    <w:p>
      <w:pPr>
        <w:ind w:firstLine="480"/>
      </w:pPr>
      <w:r>
        <w:rPr/>
        <w:t>(2)投标文件提供虚假材料的。</w:t>
      </w:r>
    </w:p>
    <w:p>
      <w:pPr>
        <w:ind w:firstLine="480"/>
      </w:pPr>
      <w:r>
        <w:rPr/>
        <w:t>(3)投标人以他人名义投标、串通投标、以行贿手段谋取中标或者以其他弄虚作假方式投标的。</w:t>
      </w:r>
    </w:p>
    <w:p>
      <w:pPr>
        <w:ind w:firstLine="480"/>
      </w:pPr>
      <w:r>
        <w:rPr/>
        <w:t>(4)投标人对采购人、采购代理机构、评标委员会及其工作人员施加影响，有碍招标公平、公正的。</w:t>
      </w:r>
    </w:p>
    <w:p>
      <w:pPr>
        <w:ind w:firstLine="480"/>
      </w:pPr>
      <w:r>
        <w:rPr/>
        <w:t>(5)投标文件含有采购人不能接受的附加条件的。</w:t>
      </w:r>
    </w:p>
    <w:p>
      <w:pPr>
        <w:ind w:firstLine="480"/>
      </w:pPr>
      <w:r>
        <w:rPr/>
        <w:t>(6)法律、法规和招标文件规定的其他无效情形。</w:t>
      </w:r>
    </w:p>
    <w:p>
      <w:pPr>
        <w:ind w:firstLine="480"/>
      </w:pPr>
    </w:p>
    <w:p>
      <w:r>
        <w:rPr/>
        <w:t xml:space="preserve"> </w:t>
      </w:r>
    </w:p>
    <w:p/>
    <w:p>
      <w:pPr>
        <w:jc w:val="center"/>
      </w:pPr>
      <w:r>
        <w:rPr>
          <w:b/>
          <w:sz w:val="36"/>
        </w:rPr>
        <w:t>第五章 合同文本</w:t>
      </w:r>
    </w:p>
    <w:p>
      <w:pPr>
        <w:ind w:firstLine="480"/>
      </w:pPr>
    </w:p>
    <w:p/>
    <w:p/>
    <w:p>
      <w:pPr>
        <w:jc w:val="center"/>
      </w:pPr>
      <w:r>
        <w:rPr>
          <w:b/>
          <w:sz w:val="48"/>
        </w:rPr>
        <w:t xml:space="preserve"> </w:t>
      </w:r>
    </w:p>
    <w:p>
      <w:pPr>
        <w:jc w:val="center"/>
      </w:pPr>
      <w:r>
        <w:rPr>
          <w:b/>
          <w:sz w:val="48"/>
        </w:rPr>
        <w:t xml:space="preserve"> </w:t>
      </w:r>
    </w:p>
    <w:p>
      <w:pPr>
        <w:jc w:val="center"/>
      </w:pPr>
      <w:r>
        <w:rPr>
          <w:b/>
          <w:sz w:val="48"/>
        </w:rPr>
        <w:t xml:space="preserve"> </w:t>
      </w:r>
    </w:p>
    <w:p>
      <w:pPr>
        <w:jc w:val="center"/>
      </w:pPr>
      <w:r>
        <w:rPr>
          <w:b/>
          <w:sz w:val="48"/>
        </w:rPr>
        <w:t>广东省政府采购</w:t>
      </w:r>
    </w:p>
    <w:p>
      <w:pPr>
        <w:jc w:val="both"/>
      </w:pPr>
      <w:r>
        <w:rPr>
          <w:b/>
          <w:sz w:val="48"/>
        </w:rPr>
        <w:t xml:space="preserve"> </w:t>
      </w:r>
    </w:p>
    <w:p>
      <w:pPr>
        <w:jc w:val="center"/>
      </w:pPr>
      <w:r>
        <w:rPr>
          <w:b/>
          <w:sz w:val="48"/>
        </w:rPr>
        <w:t>合　同　书</w:t>
      </w:r>
    </w:p>
    <w:p>
      <w:pPr>
        <w:jc w:val="center"/>
      </w:pPr>
      <w:r>
        <w:br/>
      </w:r>
      <w:r>
        <w:br/>
      </w:r>
      <w:r>
        <w:br/>
      </w:r>
      <w:r>
        <w:br/>
      </w:r>
      <w:r>
        <w:br/>
      </w:r>
      <w:r>
        <w:rPr>
          <w:color w:val="222222"/>
          <w:sz w:val="27"/>
        </w:rPr>
        <w:t xml:space="preserve"> </w:t>
      </w:r>
    </w:p>
    <w:p>
      <w:pPr>
        <w:jc w:val="center"/>
      </w:pPr>
      <w:r>
        <w:rPr>
          <w:color w:val="222222"/>
          <w:sz w:val="28"/>
        </w:rPr>
        <w:t>采购计划编号：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jc w:val="both"/>
      </w:pPr>
      <w:r>
        <w:rPr>
          <w:color w:val="222222"/>
          <w:sz w:val="27"/>
        </w:rPr>
        <w:t xml:space="preserve"> </w:t>
      </w:r>
    </w:p>
    <w:p>
      <w:pPr>
        <w:jc w:val="center"/>
      </w:pPr>
      <w:r>
        <w:rPr>
          <w:color w:val="222222"/>
          <w:sz w:val="28"/>
        </w:rPr>
        <w:t>项目编号：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jc w:val="both"/>
      </w:pPr>
      <w:r>
        <w:rPr>
          <w:color w:val="222222"/>
          <w:sz w:val="27"/>
        </w:rPr>
        <w:t xml:space="preserve"> </w:t>
      </w:r>
    </w:p>
    <w:p>
      <w:pPr>
        <w:jc w:val="center"/>
      </w:pPr>
      <w:r>
        <w:rPr>
          <w:color w:val="222222"/>
          <w:sz w:val="28"/>
        </w:rPr>
        <w:t>项目名称：</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jc w:val="center"/>
      </w:pPr>
      <w:r>
        <w:rPr>
          <w:sz w:val="36"/>
        </w:rPr>
        <w:t xml:space="preserve"> </w:t>
      </w:r>
    </w:p>
    <w:p>
      <w:pPr>
        <w:jc w:val="center"/>
      </w:pPr>
      <w:r>
        <w:rPr>
          <w:sz w:val="36"/>
        </w:rPr>
        <w:t xml:space="preserve"> </w:t>
      </w:r>
    </w:p>
    <w:p>
      <w:pPr>
        <w:ind w:firstLine="420"/>
        <w:jc w:val="left"/>
      </w:pPr>
      <w:r>
        <w:rPr>
          <w:b/>
          <w:sz w:val="24"/>
        </w:rPr>
        <w:t>（本合同文本仅供参考，具体以双方实际签订时协商为准）</w:t>
      </w:r>
    </w:p>
    <w:p>
      <w:pPr>
        <w:ind w:firstLine="420"/>
        <w:jc w:val="both"/>
      </w:pPr>
    </w:p>
    <w:p/>
    <w:p>
      <w:r>
        <w:rPr/>
        <w:t xml:space="preserve"> </w:t>
      </w:r>
    </w:p>
    <w:p>
      <w:pPr>
        <w:ind w:firstLine="420"/>
        <w:jc w:val="both"/>
      </w:pPr>
      <w:r>
        <w:rPr>
          <w:sz w:val="24"/>
        </w:rPr>
        <w:t>甲</w:t>
      </w:r>
      <w:r>
        <w:rPr>
          <w:sz w:val="24"/>
        </w:rPr>
        <w:t xml:space="preserve">  方：</w:t>
      </w:r>
      <w:r>
        <w:rPr>
          <w:sz w:val="24"/>
          <w:u w:val="single"/>
        </w:rPr>
        <w:t xml:space="preserve">                   </w:t>
      </w:r>
    </w:p>
    <w:p>
      <w:pPr>
        <w:ind w:firstLine="420"/>
        <w:jc w:val="both"/>
      </w:pPr>
      <w:r>
        <w:rPr>
          <w:sz w:val="24"/>
        </w:rPr>
        <w:t>电</w:t>
      </w:r>
      <w:r>
        <w:rPr>
          <w:sz w:val="24"/>
        </w:rPr>
        <w:t xml:space="preserve">   话：</w:t>
      </w:r>
      <w:r>
        <w:rPr>
          <w:sz w:val="24"/>
          <w:u w:val="single"/>
        </w:rPr>
        <w:t xml:space="preserve">            </w:t>
      </w:r>
      <w:r>
        <w:rPr>
          <w:sz w:val="24"/>
        </w:rPr>
        <w:t xml:space="preserve">  </w:t>
      </w:r>
      <w:r>
        <w:rPr>
          <w:sz w:val="24"/>
        </w:rPr>
        <w:t>传</w:t>
      </w:r>
      <w:r>
        <w:rPr>
          <w:sz w:val="24"/>
        </w:rPr>
        <w:t>真：</w:t>
      </w:r>
      <w:r>
        <w:rPr>
          <w:sz w:val="24"/>
          <w:u w:val="single"/>
        </w:rPr>
        <w:t xml:space="preserve">       </w:t>
      </w:r>
      <w:r>
        <w:rPr>
          <w:sz w:val="24"/>
        </w:rPr>
        <w:t xml:space="preserve">   </w:t>
      </w:r>
      <w:r>
        <w:rPr>
          <w:sz w:val="24"/>
        </w:rPr>
        <w:t>地</w:t>
      </w:r>
      <w:r>
        <w:rPr>
          <w:sz w:val="24"/>
        </w:rPr>
        <w:t>址：</w:t>
      </w:r>
      <w:r>
        <w:rPr>
          <w:sz w:val="24"/>
          <w:u w:val="single"/>
        </w:rPr>
        <w:t xml:space="preserve">                     </w:t>
      </w:r>
    </w:p>
    <w:p>
      <w:pPr>
        <w:ind w:firstLine="420"/>
        <w:jc w:val="both"/>
      </w:pPr>
      <w:r>
        <w:rPr>
          <w:sz w:val="24"/>
        </w:rPr>
        <w:t>乙</w:t>
      </w:r>
      <w:r>
        <w:rPr>
          <w:sz w:val="24"/>
        </w:rPr>
        <w:t xml:space="preserve">  方：</w:t>
      </w:r>
      <w:r>
        <w:rPr>
          <w:sz w:val="24"/>
          <w:u w:val="single"/>
        </w:rPr>
        <w:t xml:space="preserve">                    </w:t>
      </w:r>
    </w:p>
    <w:p>
      <w:pPr>
        <w:ind w:firstLine="420"/>
        <w:jc w:val="both"/>
      </w:pPr>
      <w:r>
        <w:rPr>
          <w:sz w:val="24"/>
        </w:rPr>
        <w:t>电</w:t>
      </w:r>
      <w:r>
        <w:rPr>
          <w:sz w:val="24"/>
        </w:rPr>
        <w:t xml:space="preserve">   话：</w:t>
      </w:r>
      <w:r>
        <w:rPr>
          <w:sz w:val="24"/>
          <w:u w:val="single"/>
        </w:rPr>
        <w:t xml:space="preserve">            </w:t>
      </w:r>
      <w:r>
        <w:rPr>
          <w:sz w:val="24"/>
        </w:rPr>
        <w:t xml:space="preserve">  </w:t>
      </w:r>
      <w:r>
        <w:rPr>
          <w:sz w:val="24"/>
        </w:rPr>
        <w:t>传</w:t>
      </w:r>
      <w:r>
        <w:rPr>
          <w:sz w:val="24"/>
        </w:rPr>
        <w:t>真：</w:t>
      </w:r>
      <w:r>
        <w:rPr>
          <w:sz w:val="24"/>
          <w:u w:val="single"/>
        </w:rPr>
        <w:t xml:space="preserve">       </w:t>
      </w:r>
      <w:r>
        <w:rPr>
          <w:sz w:val="24"/>
        </w:rPr>
        <w:t xml:space="preserve">   </w:t>
      </w:r>
      <w:r>
        <w:rPr>
          <w:sz w:val="24"/>
        </w:rPr>
        <w:t>地</w:t>
      </w:r>
      <w:r>
        <w:rPr>
          <w:sz w:val="24"/>
        </w:rPr>
        <w:t>址：</w:t>
      </w:r>
      <w:r>
        <w:rPr>
          <w:sz w:val="24"/>
          <w:u w:val="single"/>
        </w:rPr>
        <w:t xml:space="preserve">                     </w:t>
      </w:r>
    </w:p>
    <w:p>
      <w:pPr>
        <w:ind w:firstLine="420"/>
        <w:jc w:val="both"/>
      </w:pPr>
      <w:r>
        <w:rPr>
          <w:sz w:val="24"/>
        </w:rPr>
        <w:t>项目名称：</w:t>
      </w:r>
      <w:r>
        <w:rPr>
          <w:sz w:val="24"/>
        </w:rPr>
        <w:t xml:space="preserve">                                  采购编号：              </w:t>
      </w:r>
    </w:p>
    <w:p>
      <w:pPr>
        <w:ind w:firstLine="420"/>
        <w:jc w:val="both"/>
      </w:pPr>
    </w:p>
    <w:p>
      <w:pPr>
        <w:ind w:firstLine="420"/>
        <w:jc w:val="both"/>
      </w:pPr>
      <w:r>
        <w:rPr>
          <w:sz w:val="24"/>
        </w:rPr>
        <w:t>根据</w:t>
      </w:r>
      <w:r>
        <w:rPr>
          <w:sz w:val="24"/>
          <w:u w:val="single"/>
        </w:rPr>
        <w:t xml:space="preserve">               </w:t>
      </w:r>
      <w:r>
        <w:rPr>
          <w:sz w:val="24"/>
        </w:rPr>
        <w:t>项目的采购结果，按照《中华人民共和国政府采购法》、《中华人民共和国民法典（合同编）》的规定，经双方协商，本着平等互利和诚实信用的原则，一致同意签订本合同如下。</w:t>
      </w:r>
    </w:p>
    <w:p>
      <w:pPr>
        <w:jc w:val="both"/>
      </w:pPr>
      <w:r>
        <w:rPr>
          <w:b/>
          <w:sz w:val="24"/>
        </w:rPr>
        <w:t>一、货物内容</w:t>
      </w:r>
      <w:r>
        <w:rPr>
          <w:sz w:val="24"/>
        </w:rPr>
        <w:t xml:space="preserve"> </w:t>
      </w:r>
    </w:p>
    <w:tbl>
      <w:tblPr>
        <w:tblW w:w="0" w:type="auto"/>
        <w:tblInd w:type="dxa" w:w="105"/>
        <w:tblBorders>
          <w:top w:val="none" w:color="000000" w:sz="4"/>
          <w:left w:val="none" w:color="000000" w:sz="4"/>
          <w:bottom w:val="none" w:color="000000" w:sz="4"/>
          <w:right w:val="none" w:color="000000" w:sz="4"/>
          <w:insideH w:val="none"/>
          <w:insideV w:val="none"/>
        </w:tblBorders>
      </w:tblPr>
      <w:tblGrid>
        <w:gridCol w:w="604"/>
        <w:gridCol w:w="947"/>
        <w:gridCol w:w="2896"/>
        <w:gridCol w:w="741"/>
        <w:gridCol w:w="741"/>
        <w:gridCol w:w="892"/>
        <w:gridCol w:w="741"/>
      </w:tblGrid>
      <w:tr>
        <w:tc>
          <w:tcPr>
            <w:tcW w:type="dxa" w:w="604"/>
            <w:tcBorders>
              <w:top w:val="single" w:color="000000" w:sz="4"/>
              <w:left w:val="single" w:color="000000" w:sz="4"/>
              <w:bottom w:val="single" w:color="000000" w:sz="4"/>
              <w:right w:val="single" w:color="000000" w:sz="4"/>
            </w:tcBorders>
            <w:vAlign w:val="top"/>
          </w:tcPr>
          <w:p>
            <w:pPr>
              <w:jc w:val="both"/>
            </w:pPr>
            <w:r>
              <w:rPr>
                <w:sz w:val="24"/>
              </w:rPr>
              <w:t>序号</w:t>
            </w:r>
          </w:p>
        </w:tc>
        <w:tc>
          <w:tcPr>
            <w:tcW w:type="dxa" w:w="947"/>
            <w:tcBorders>
              <w:top w:val="single" w:color="000000" w:sz="4"/>
              <w:left w:val="none" w:color="000000" w:sz="4"/>
              <w:bottom w:val="single" w:color="000000" w:sz="4"/>
              <w:right w:val="single" w:color="000000" w:sz="4"/>
            </w:tcBorders>
            <w:vAlign w:val="top"/>
          </w:tcPr>
          <w:p>
            <w:pPr>
              <w:jc w:val="center"/>
            </w:pPr>
            <w:r>
              <w:rPr>
                <w:sz w:val="24"/>
              </w:rPr>
              <w:t>商品名称</w:t>
            </w:r>
          </w:p>
        </w:tc>
        <w:tc>
          <w:tcPr>
            <w:tcW w:type="dxa" w:w="2896"/>
            <w:tcBorders>
              <w:top w:val="single" w:color="000000" w:sz="4"/>
              <w:left w:val="none" w:color="000000" w:sz="4"/>
              <w:bottom w:val="single" w:color="000000" w:sz="4"/>
              <w:right w:val="single" w:color="000000" w:sz="4"/>
            </w:tcBorders>
            <w:vAlign w:val="top"/>
          </w:tcPr>
          <w:p>
            <w:pPr>
              <w:jc w:val="center"/>
            </w:pPr>
            <w:r>
              <w:rPr>
                <w:sz w:val="24"/>
              </w:rPr>
              <w:t>品牌、规格型号、配置（性能参数）</w:t>
            </w:r>
          </w:p>
        </w:tc>
        <w:tc>
          <w:tcPr>
            <w:tcW w:type="dxa" w:w="741"/>
            <w:tcBorders>
              <w:top w:val="single" w:color="000000" w:sz="4"/>
              <w:left w:val="none" w:color="000000" w:sz="4"/>
              <w:bottom w:val="single" w:color="000000" w:sz="4"/>
              <w:right w:val="single" w:color="000000" w:sz="4"/>
            </w:tcBorders>
            <w:vAlign w:val="top"/>
          </w:tcPr>
          <w:p>
            <w:pPr>
              <w:jc w:val="center"/>
            </w:pPr>
            <w:r>
              <w:rPr>
                <w:sz w:val="24"/>
              </w:rPr>
              <w:t>产地</w:t>
            </w:r>
          </w:p>
        </w:tc>
        <w:tc>
          <w:tcPr>
            <w:tcW w:type="dxa" w:w="741"/>
            <w:tcBorders>
              <w:top w:val="single" w:color="000000" w:sz="4"/>
              <w:left w:val="none" w:color="000000" w:sz="4"/>
              <w:bottom w:val="single" w:color="000000" w:sz="4"/>
              <w:right w:val="single" w:color="000000" w:sz="4"/>
            </w:tcBorders>
            <w:vAlign w:val="top"/>
          </w:tcPr>
          <w:p>
            <w:pPr>
              <w:jc w:val="center"/>
            </w:pPr>
            <w:r>
              <w:rPr>
                <w:sz w:val="24"/>
              </w:rPr>
              <w:t>数量</w:t>
            </w:r>
          </w:p>
        </w:tc>
        <w:tc>
          <w:tcPr>
            <w:tcW w:type="dxa" w:w="892"/>
            <w:tcBorders>
              <w:top w:val="single" w:color="000000" w:sz="4"/>
              <w:left w:val="none" w:color="000000" w:sz="4"/>
              <w:bottom w:val="single" w:color="000000" w:sz="4"/>
              <w:right w:val="single" w:color="000000" w:sz="4"/>
            </w:tcBorders>
            <w:vAlign w:val="top"/>
          </w:tcPr>
          <w:p>
            <w:pPr>
              <w:jc w:val="center"/>
            </w:pPr>
            <w:r>
              <w:rPr>
                <w:sz w:val="24"/>
              </w:rPr>
              <w:t>单价</w:t>
            </w:r>
            <w:r>
              <w:rPr>
                <w:sz w:val="24"/>
              </w:rPr>
              <w:t>（</w:t>
            </w:r>
            <w:r>
              <w:rPr>
                <w:sz w:val="24"/>
              </w:rPr>
              <w:t>元</w:t>
            </w:r>
            <w:r>
              <w:rPr>
                <w:sz w:val="24"/>
              </w:rPr>
              <w:t>）</w:t>
            </w:r>
          </w:p>
        </w:tc>
        <w:tc>
          <w:tcPr>
            <w:tcW w:type="dxa" w:w="741"/>
            <w:tcBorders>
              <w:top w:val="single" w:color="000000" w:sz="4"/>
              <w:left w:val="none" w:color="000000" w:sz="4"/>
              <w:bottom w:val="single" w:color="000000" w:sz="4"/>
              <w:right w:val="single" w:color="000000" w:sz="4"/>
            </w:tcBorders>
            <w:vAlign w:val="top"/>
          </w:tcPr>
          <w:p>
            <w:pPr>
              <w:jc w:val="center"/>
            </w:pPr>
            <w:r>
              <w:rPr>
                <w:sz w:val="24"/>
              </w:rPr>
              <w:t>金额</w:t>
            </w:r>
            <w:r>
              <w:rPr>
                <w:sz w:val="24"/>
              </w:rPr>
              <w:t>（</w:t>
            </w:r>
            <w:r>
              <w:rPr>
                <w:sz w:val="24"/>
              </w:rPr>
              <w:t>元</w:t>
            </w:r>
            <w:r>
              <w:rPr>
                <w:sz w:val="24"/>
              </w:rPr>
              <w:t>）</w:t>
            </w:r>
          </w:p>
        </w:tc>
      </w:tr>
      <w:tr>
        <w:tc>
          <w:tcPr>
            <w:tcW w:type="dxa" w:w="604"/>
            <w:tcBorders>
              <w:top w:val="none" w:color="000000" w:sz="4"/>
              <w:left w:val="single" w:color="000000" w:sz="4"/>
              <w:bottom w:val="single" w:color="000000" w:sz="4"/>
              <w:right w:val="single" w:color="000000" w:sz="4"/>
            </w:tcBorders>
            <w:vAlign w:val="top"/>
          </w:tcPr>
          <w:p>
            <w:pPr>
              <w:jc w:val="center"/>
            </w:pPr>
            <w:r>
              <w:rPr>
                <w:sz w:val="24"/>
              </w:rPr>
              <w:t>1</w:t>
            </w:r>
          </w:p>
        </w:tc>
        <w:tc>
          <w:tcPr>
            <w:tcW w:type="dxa" w:w="947"/>
            <w:tcBorders>
              <w:top w:val="none" w:color="000000" w:sz="4"/>
              <w:left w:val="none" w:color="000000" w:sz="4"/>
              <w:bottom w:val="single" w:color="000000" w:sz="4"/>
              <w:right w:val="single" w:color="000000" w:sz="4"/>
            </w:tcBorders>
            <w:vAlign w:val="top"/>
          </w:tcPr>
          <w:p>
            <w:pPr>
              <w:jc w:val="both"/>
            </w:pPr>
          </w:p>
        </w:tc>
        <w:tc>
          <w:tcPr>
            <w:tcW w:type="dxa" w:w="2896"/>
            <w:tcBorders>
              <w:top w:val="none" w:color="000000" w:sz="4"/>
              <w:left w:val="none" w:color="000000" w:sz="4"/>
              <w:bottom w:val="single" w:color="000000" w:sz="4"/>
              <w:right w:val="single" w:color="000000" w:sz="4"/>
            </w:tcBorders>
            <w:vAlign w:val="top"/>
          </w:tcPr>
          <w:p>
            <w:pPr>
              <w:jc w:val="both"/>
            </w:pPr>
          </w:p>
        </w:tc>
        <w:tc>
          <w:tcPr>
            <w:tcW w:type="dxa" w:w="741"/>
            <w:tcBorders>
              <w:top w:val="none" w:color="000000" w:sz="4"/>
              <w:left w:val="none" w:color="000000" w:sz="4"/>
              <w:bottom w:val="single" w:color="000000" w:sz="4"/>
              <w:right w:val="single" w:color="000000" w:sz="4"/>
            </w:tcBorders>
            <w:vAlign w:val="top"/>
          </w:tcPr>
          <w:p>
            <w:pPr>
              <w:jc w:val="both"/>
            </w:pPr>
          </w:p>
        </w:tc>
        <w:tc>
          <w:tcPr>
            <w:tcW w:type="dxa" w:w="741"/>
            <w:tcBorders>
              <w:top w:val="none" w:color="000000" w:sz="4"/>
              <w:left w:val="none" w:color="000000" w:sz="4"/>
              <w:bottom w:val="single" w:color="000000" w:sz="4"/>
              <w:right w:val="single" w:color="000000" w:sz="4"/>
            </w:tcBorders>
            <w:vAlign w:val="top"/>
          </w:tcPr>
          <w:p>
            <w:pPr>
              <w:jc w:val="both"/>
            </w:pPr>
          </w:p>
        </w:tc>
        <w:tc>
          <w:tcPr>
            <w:tcW w:type="dxa" w:w="892"/>
            <w:tcBorders>
              <w:top w:val="none" w:color="000000" w:sz="4"/>
              <w:left w:val="none" w:color="000000" w:sz="4"/>
              <w:bottom w:val="single" w:color="000000" w:sz="4"/>
              <w:right w:val="single" w:color="000000" w:sz="4"/>
            </w:tcBorders>
            <w:vAlign w:val="top"/>
          </w:tcPr>
          <w:p>
            <w:pPr>
              <w:jc w:val="both"/>
            </w:pPr>
          </w:p>
        </w:tc>
        <w:tc>
          <w:tcPr>
            <w:tcW w:type="dxa" w:w="741"/>
            <w:tcBorders>
              <w:top w:val="none" w:color="000000" w:sz="4"/>
              <w:left w:val="none" w:color="000000" w:sz="4"/>
              <w:bottom w:val="single" w:color="000000" w:sz="4"/>
              <w:right w:val="single" w:color="000000" w:sz="4"/>
            </w:tcBorders>
            <w:vAlign w:val="top"/>
          </w:tcPr>
          <w:p>
            <w:pPr>
              <w:jc w:val="both"/>
            </w:pPr>
          </w:p>
        </w:tc>
      </w:tr>
      <w:tr>
        <w:tc>
          <w:tcPr>
            <w:tcW w:type="dxa" w:w="604"/>
            <w:tcBorders>
              <w:top w:val="none" w:color="000000" w:sz="4"/>
              <w:left w:val="single" w:color="000000" w:sz="4"/>
              <w:bottom w:val="single" w:color="000000" w:sz="4"/>
              <w:right w:val="single" w:color="000000" w:sz="4"/>
            </w:tcBorders>
            <w:vAlign w:val="top"/>
          </w:tcPr>
          <w:p>
            <w:pPr>
              <w:jc w:val="center"/>
            </w:pPr>
            <w:r>
              <w:rPr>
                <w:sz w:val="24"/>
              </w:rPr>
              <w:t>2</w:t>
            </w:r>
          </w:p>
        </w:tc>
        <w:tc>
          <w:tcPr>
            <w:tcW w:type="dxa" w:w="947"/>
            <w:tcBorders>
              <w:top w:val="none" w:color="000000" w:sz="4"/>
              <w:left w:val="none" w:color="000000" w:sz="4"/>
              <w:bottom w:val="single" w:color="000000" w:sz="4"/>
              <w:right w:val="single" w:color="000000" w:sz="4"/>
            </w:tcBorders>
            <w:vAlign w:val="top"/>
          </w:tcPr>
          <w:p>
            <w:pPr>
              <w:jc w:val="both"/>
            </w:pPr>
          </w:p>
        </w:tc>
        <w:tc>
          <w:tcPr>
            <w:tcW w:type="dxa" w:w="2896"/>
            <w:tcBorders>
              <w:top w:val="none" w:color="000000" w:sz="4"/>
              <w:left w:val="none" w:color="000000" w:sz="4"/>
              <w:bottom w:val="single" w:color="000000" w:sz="4"/>
              <w:right w:val="single" w:color="000000" w:sz="4"/>
            </w:tcBorders>
            <w:vAlign w:val="top"/>
          </w:tcPr>
          <w:p>
            <w:pPr>
              <w:jc w:val="both"/>
            </w:pPr>
          </w:p>
        </w:tc>
        <w:tc>
          <w:tcPr>
            <w:tcW w:type="dxa" w:w="741"/>
            <w:tcBorders>
              <w:top w:val="none" w:color="000000" w:sz="4"/>
              <w:left w:val="none" w:color="000000" w:sz="4"/>
              <w:bottom w:val="single" w:color="000000" w:sz="4"/>
              <w:right w:val="single" w:color="000000" w:sz="4"/>
            </w:tcBorders>
            <w:vAlign w:val="top"/>
          </w:tcPr>
          <w:p>
            <w:pPr>
              <w:jc w:val="both"/>
            </w:pPr>
          </w:p>
        </w:tc>
        <w:tc>
          <w:tcPr>
            <w:tcW w:type="dxa" w:w="741"/>
            <w:tcBorders>
              <w:top w:val="none" w:color="000000" w:sz="4"/>
              <w:left w:val="none" w:color="000000" w:sz="4"/>
              <w:bottom w:val="single" w:color="000000" w:sz="4"/>
              <w:right w:val="single" w:color="000000" w:sz="4"/>
            </w:tcBorders>
            <w:vAlign w:val="top"/>
          </w:tcPr>
          <w:p>
            <w:pPr>
              <w:jc w:val="both"/>
            </w:pPr>
          </w:p>
        </w:tc>
        <w:tc>
          <w:tcPr>
            <w:tcW w:type="dxa" w:w="892"/>
            <w:tcBorders>
              <w:top w:val="none" w:color="000000" w:sz="4"/>
              <w:left w:val="none" w:color="000000" w:sz="4"/>
              <w:bottom w:val="single" w:color="000000" w:sz="4"/>
              <w:right w:val="single" w:color="000000" w:sz="4"/>
            </w:tcBorders>
            <w:vAlign w:val="top"/>
          </w:tcPr>
          <w:p>
            <w:pPr>
              <w:jc w:val="both"/>
            </w:pPr>
          </w:p>
        </w:tc>
        <w:tc>
          <w:tcPr>
            <w:tcW w:type="dxa" w:w="741"/>
            <w:tcBorders>
              <w:top w:val="none" w:color="000000" w:sz="4"/>
              <w:left w:val="none" w:color="000000" w:sz="4"/>
              <w:bottom w:val="single" w:color="000000" w:sz="4"/>
              <w:right w:val="single" w:color="000000" w:sz="4"/>
            </w:tcBorders>
            <w:vAlign w:val="top"/>
          </w:tcPr>
          <w:p>
            <w:pPr>
              <w:jc w:val="both"/>
            </w:pPr>
          </w:p>
        </w:tc>
      </w:tr>
      <w:tr>
        <w:tc>
          <w:tcPr>
            <w:tcW w:type="dxa" w:w="604"/>
            <w:tcBorders>
              <w:top w:val="none" w:color="000000" w:sz="4"/>
              <w:left w:val="single" w:color="000000" w:sz="4"/>
              <w:bottom w:val="single" w:color="000000" w:sz="4"/>
              <w:right w:val="single" w:color="000000" w:sz="4"/>
            </w:tcBorders>
            <w:vAlign w:val="top"/>
          </w:tcPr>
          <w:p>
            <w:pPr>
              <w:jc w:val="center"/>
            </w:pPr>
            <w:r>
              <w:rPr>
                <w:sz w:val="24"/>
              </w:rPr>
              <w:t>3</w:t>
            </w:r>
          </w:p>
        </w:tc>
        <w:tc>
          <w:tcPr>
            <w:tcW w:type="dxa" w:w="947"/>
            <w:tcBorders>
              <w:top w:val="none" w:color="000000" w:sz="4"/>
              <w:left w:val="none" w:color="000000" w:sz="4"/>
              <w:bottom w:val="single" w:color="000000" w:sz="4"/>
              <w:right w:val="single" w:color="000000" w:sz="4"/>
            </w:tcBorders>
            <w:vAlign w:val="top"/>
          </w:tcPr>
          <w:p>
            <w:pPr>
              <w:jc w:val="both"/>
            </w:pPr>
          </w:p>
        </w:tc>
        <w:tc>
          <w:tcPr>
            <w:tcW w:type="dxa" w:w="2896"/>
            <w:tcBorders>
              <w:top w:val="none" w:color="000000" w:sz="4"/>
              <w:left w:val="none" w:color="000000" w:sz="4"/>
              <w:bottom w:val="single" w:color="000000" w:sz="4"/>
              <w:right w:val="single" w:color="000000" w:sz="4"/>
            </w:tcBorders>
            <w:vAlign w:val="top"/>
          </w:tcPr>
          <w:p>
            <w:pPr>
              <w:jc w:val="both"/>
            </w:pPr>
          </w:p>
        </w:tc>
        <w:tc>
          <w:tcPr>
            <w:tcW w:type="dxa" w:w="741"/>
            <w:tcBorders>
              <w:top w:val="none" w:color="000000" w:sz="4"/>
              <w:left w:val="none" w:color="000000" w:sz="4"/>
              <w:bottom w:val="single" w:color="000000" w:sz="4"/>
              <w:right w:val="single" w:color="000000" w:sz="4"/>
            </w:tcBorders>
            <w:vAlign w:val="top"/>
          </w:tcPr>
          <w:p>
            <w:pPr>
              <w:jc w:val="both"/>
            </w:pPr>
          </w:p>
        </w:tc>
        <w:tc>
          <w:tcPr>
            <w:tcW w:type="dxa" w:w="741"/>
            <w:tcBorders>
              <w:top w:val="none" w:color="000000" w:sz="4"/>
              <w:left w:val="none" w:color="000000" w:sz="4"/>
              <w:bottom w:val="single" w:color="000000" w:sz="4"/>
              <w:right w:val="single" w:color="000000" w:sz="4"/>
            </w:tcBorders>
            <w:vAlign w:val="top"/>
          </w:tcPr>
          <w:p>
            <w:pPr>
              <w:jc w:val="both"/>
            </w:pPr>
          </w:p>
        </w:tc>
        <w:tc>
          <w:tcPr>
            <w:tcW w:type="dxa" w:w="892"/>
            <w:tcBorders>
              <w:top w:val="none" w:color="000000" w:sz="4"/>
              <w:left w:val="none" w:color="000000" w:sz="4"/>
              <w:bottom w:val="single" w:color="000000" w:sz="4"/>
              <w:right w:val="single" w:color="000000" w:sz="4"/>
            </w:tcBorders>
            <w:vAlign w:val="top"/>
          </w:tcPr>
          <w:p>
            <w:pPr>
              <w:jc w:val="both"/>
            </w:pPr>
          </w:p>
        </w:tc>
        <w:tc>
          <w:tcPr>
            <w:tcW w:type="dxa" w:w="741"/>
            <w:tcBorders>
              <w:top w:val="none" w:color="000000" w:sz="4"/>
              <w:left w:val="none" w:color="000000" w:sz="4"/>
              <w:bottom w:val="single" w:color="000000" w:sz="4"/>
              <w:right w:val="single" w:color="000000" w:sz="4"/>
            </w:tcBorders>
            <w:vAlign w:val="top"/>
          </w:tcPr>
          <w:p>
            <w:pPr>
              <w:jc w:val="both"/>
            </w:pPr>
          </w:p>
        </w:tc>
      </w:tr>
      <w:tr>
        <w:tc>
          <w:tcPr>
            <w:tcW w:type="dxa" w:w="604"/>
            <w:tcBorders>
              <w:top w:val="none" w:color="000000" w:sz="4"/>
              <w:left w:val="single" w:color="000000" w:sz="4"/>
              <w:bottom w:val="single" w:color="000000" w:sz="4"/>
              <w:right w:val="single" w:color="000000" w:sz="4"/>
            </w:tcBorders>
            <w:vAlign w:val="top"/>
          </w:tcPr>
          <w:p>
            <w:pPr>
              <w:jc w:val="center"/>
            </w:pPr>
            <w:r>
              <w:rPr>
                <w:sz w:val="24"/>
              </w:rPr>
              <w:t>4</w:t>
            </w:r>
          </w:p>
        </w:tc>
        <w:tc>
          <w:tcPr>
            <w:tcW w:type="dxa" w:w="947"/>
            <w:tcBorders>
              <w:top w:val="none" w:color="000000" w:sz="4"/>
              <w:left w:val="none" w:color="000000" w:sz="4"/>
              <w:bottom w:val="single" w:color="000000" w:sz="4"/>
              <w:right w:val="single" w:color="000000" w:sz="4"/>
            </w:tcBorders>
            <w:vAlign w:val="top"/>
          </w:tcPr>
          <w:p>
            <w:pPr>
              <w:jc w:val="both"/>
            </w:pPr>
          </w:p>
        </w:tc>
        <w:tc>
          <w:tcPr>
            <w:tcW w:type="dxa" w:w="2896"/>
            <w:tcBorders>
              <w:top w:val="none" w:color="000000" w:sz="4"/>
              <w:left w:val="none" w:color="000000" w:sz="4"/>
              <w:bottom w:val="single" w:color="000000" w:sz="4"/>
              <w:right w:val="single" w:color="000000" w:sz="4"/>
            </w:tcBorders>
            <w:vAlign w:val="top"/>
          </w:tcPr>
          <w:p>
            <w:pPr>
              <w:jc w:val="both"/>
            </w:pPr>
          </w:p>
        </w:tc>
        <w:tc>
          <w:tcPr>
            <w:tcW w:type="dxa" w:w="741"/>
            <w:tcBorders>
              <w:top w:val="none" w:color="000000" w:sz="4"/>
              <w:left w:val="none" w:color="000000" w:sz="4"/>
              <w:bottom w:val="single" w:color="000000" w:sz="4"/>
              <w:right w:val="single" w:color="000000" w:sz="4"/>
            </w:tcBorders>
            <w:vAlign w:val="top"/>
          </w:tcPr>
          <w:p>
            <w:pPr>
              <w:jc w:val="both"/>
            </w:pPr>
          </w:p>
        </w:tc>
        <w:tc>
          <w:tcPr>
            <w:tcW w:type="dxa" w:w="741"/>
            <w:tcBorders>
              <w:top w:val="none" w:color="000000" w:sz="4"/>
              <w:left w:val="none" w:color="000000" w:sz="4"/>
              <w:bottom w:val="single" w:color="000000" w:sz="4"/>
              <w:right w:val="single" w:color="000000" w:sz="4"/>
            </w:tcBorders>
            <w:vAlign w:val="top"/>
          </w:tcPr>
          <w:p>
            <w:pPr>
              <w:jc w:val="both"/>
            </w:pPr>
          </w:p>
        </w:tc>
        <w:tc>
          <w:tcPr>
            <w:tcW w:type="dxa" w:w="892"/>
            <w:tcBorders>
              <w:top w:val="none" w:color="000000" w:sz="4"/>
              <w:left w:val="none" w:color="000000" w:sz="4"/>
              <w:bottom w:val="single" w:color="000000" w:sz="4"/>
              <w:right w:val="single" w:color="000000" w:sz="4"/>
            </w:tcBorders>
            <w:vAlign w:val="top"/>
          </w:tcPr>
          <w:p>
            <w:pPr>
              <w:jc w:val="both"/>
            </w:pPr>
          </w:p>
        </w:tc>
        <w:tc>
          <w:tcPr>
            <w:tcW w:type="dxa" w:w="741"/>
            <w:tcBorders>
              <w:top w:val="none" w:color="000000" w:sz="4"/>
              <w:left w:val="none" w:color="000000" w:sz="4"/>
              <w:bottom w:val="single" w:color="000000" w:sz="4"/>
              <w:right w:val="single" w:color="000000" w:sz="4"/>
            </w:tcBorders>
            <w:vAlign w:val="top"/>
          </w:tcPr>
          <w:p>
            <w:pPr>
              <w:jc w:val="both"/>
            </w:pPr>
          </w:p>
        </w:tc>
      </w:tr>
      <w:tr>
        <w:tc>
          <w:tcPr>
            <w:tcW w:type="dxa" w:w="7562"/>
            <w:gridSpan w:val="7"/>
            <w:tcBorders>
              <w:top w:val="none" w:color="000000" w:sz="4"/>
              <w:left w:val="single" w:color="000000" w:sz="4"/>
              <w:bottom w:val="single" w:color="000000" w:sz="4"/>
              <w:right w:val="single" w:color="000000" w:sz="4"/>
            </w:tcBorders>
            <w:vAlign w:val="top"/>
          </w:tcPr>
          <w:p>
            <w:pPr>
              <w:jc w:val="both"/>
            </w:pPr>
            <w:r>
              <w:rPr>
                <w:sz w:val="24"/>
              </w:rPr>
              <w:t xml:space="preserve">  </w:t>
            </w:r>
            <w:r>
              <w:rPr>
                <w:sz w:val="24"/>
              </w:rPr>
              <w:t>合计总额：￥</w:t>
            </w:r>
            <w:r>
              <w:rPr>
                <w:sz w:val="24"/>
              </w:rPr>
              <w:t xml:space="preserve">      元；   大写：        </w:t>
            </w:r>
          </w:p>
        </w:tc>
      </w:tr>
    </w:tbl>
    <w:p>
      <w:pPr>
        <w:ind w:firstLine="420"/>
        <w:jc w:val="both"/>
      </w:pPr>
      <w:r>
        <w:rPr>
          <w:sz w:val="24"/>
        </w:rPr>
        <w:t>合同总额包括乙方设计、安装、随机零配件、标配工具、运输保险、调试、系统集成、试运行、验收、培训、质保期服务、各项税费及合同实施过程中不可预见费用等。</w:t>
      </w:r>
    </w:p>
    <w:p>
      <w:pPr>
        <w:ind w:firstLine="420"/>
        <w:jc w:val="both"/>
      </w:pPr>
      <w:r>
        <w:rPr>
          <w:sz w:val="24"/>
        </w:rPr>
        <w:t>注：货物名称内容必须与投标文件中货物名称内容一致。</w:t>
      </w:r>
    </w:p>
    <w:p>
      <w:pPr>
        <w:jc w:val="both"/>
      </w:pPr>
      <w:r>
        <w:rPr>
          <w:b/>
          <w:sz w:val="24"/>
        </w:rPr>
        <w:t>二、合同金额</w:t>
      </w:r>
    </w:p>
    <w:p>
      <w:pPr>
        <w:ind w:firstLine="420"/>
        <w:jc w:val="both"/>
      </w:pPr>
      <w:r>
        <w:rPr>
          <w:sz w:val="24"/>
        </w:rPr>
        <w:t>合同金额为（大写）：</w:t>
      </w:r>
      <w:r>
        <w:rPr>
          <w:sz w:val="24"/>
        </w:rPr>
        <w:t>_________________元（￥_______________元）人民币。</w:t>
      </w:r>
    </w:p>
    <w:p>
      <w:pPr>
        <w:jc w:val="both"/>
      </w:pPr>
      <w:r>
        <w:rPr>
          <w:b/>
          <w:sz w:val="24"/>
        </w:rPr>
        <w:t>三、质量要求</w:t>
      </w:r>
    </w:p>
    <w:p>
      <w:pPr>
        <w:ind w:firstLine="420"/>
        <w:jc w:val="both"/>
      </w:pPr>
      <w:r>
        <w:rPr>
          <w:sz w:val="24"/>
        </w:rPr>
        <w:t>详见采购需求</w:t>
      </w:r>
    </w:p>
    <w:p>
      <w:pPr>
        <w:jc w:val="both"/>
      </w:pPr>
      <w:r>
        <w:rPr>
          <w:b/>
          <w:sz w:val="24"/>
        </w:rPr>
        <w:t>四、交货期、交货方式及交货地点</w:t>
      </w:r>
    </w:p>
    <w:p>
      <w:pPr>
        <w:ind w:firstLine="420"/>
        <w:jc w:val="both"/>
      </w:pPr>
      <w:r>
        <w:rPr>
          <w:sz w:val="24"/>
        </w:rPr>
        <w:t xml:space="preserve">1、交货期：                </w:t>
      </w:r>
    </w:p>
    <w:p>
      <w:pPr>
        <w:ind w:firstLine="420"/>
        <w:jc w:val="both"/>
      </w:pPr>
      <w:r>
        <w:rPr>
          <w:sz w:val="24"/>
        </w:rPr>
        <w:t xml:space="preserve">2、交货方式：                    </w:t>
      </w:r>
    </w:p>
    <w:p>
      <w:pPr>
        <w:ind w:firstLine="420"/>
        <w:jc w:val="both"/>
      </w:pPr>
      <w:r>
        <w:rPr>
          <w:sz w:val="24"/>
        </w:rPr>
        <w:t xml:space="preserve">3、交货地点：                     </w:t>
      </w:r>
    </w:p>
    <w:p>
      <w:pPr>
        <w:jc w:val="both"/>
      </w:pPr>
      <w:r>
        <w:rPr>
          <w:b/>
          <w:sz w:val="24"/>
        </w:rPr>
        <w:t>五、付款方式</w:t>
      </w:r>
    </w:p>
    <w:p>
      <w:pPr>
        <w:ind w:firstLine="420"/>
        <w:jc w:val="both"/>
      </w:pPr>
      <w:r>
        <w:rPr>
          <w:sz w:val="24"/>
        </w:rPr>
        <w:t>详见采购需求</w:t>
      </w:r>
    </w:p>
    <w:p>
      <w:pPr>
        <w:jc w:val="both"/>
      </w:pPr>
      <w:r>
        <w:rPr>
          <w:b/>
          <w:sz w:val="24"/>
        </w:rPr>
        <w:t>六、包装与验收</w:t>
      </w:r>
    </w:p>
    <w:p>
      <w:pPr>
        <w:ind w:firstLine="420"/>
        <w:jc w:val="both"/>
      </w:pPr>
      <w:r>
        <w:rPr>
          <w:sz w:val="24"/>
        </w:rPr>
        <w:t>详见采购需求</w:t>
      </w:r>
    </w:p>
    <w:p>
      <w:pPr>
        <w:jc w:val="both"/>
      </w:pPr>
      <w:r>
        <w:rPr>
          <w:b/>
          <w:sz w:val="24"/>
        </w:rPr>
        <w:t>七、售后服务要求</w:t>
      </w:r>
    </w:p>
    <w:p>
      <w:pPr>
        <w:ind w:firstLine="420"/>
        <w:jc w:val="both"/>
      </w:pPr>
      <w:r>
        <w:rPr>
          <w:sz w:val="24"/>
        </w:rPr>
        <w:t>详见采购需求</w:t>
      </w:r>
    </w:p>
    <w:p>
      <w:pPr>
        <w:jc w:val="both"/>
      </w:pPr>
      <w:r>
        <w:rPr>
          <w:b/>
          <w:sz w:val="24"/>
        </w:rPr>
        <w:t>八、违约责任与赔偿损失</w:t>
      </w:r>
    </w:p>
    <w:p>
      <w:pPr>
        <w:ind w:firstLine="420"/>
        <w:jc w:val="both"/>
      </w:pPr>
      <w:r>
        <w:rPr>
          <w:sz w:val="24"/>
        </w:rPr>
        <w:t>1、乙方交付的货物、工程/提供的服务不符合采购文件、报价文件或本合同规定的，甲方有权拒收，并且乙方须向甲方支付本合同总价5%的违约金。</w:t>
      </w:r>
    </w:p>
    <w:p>
      <w:pPr>
        <w:ind w:firstLine="420"/>
        <w:jc w:val="both"/>
      </w:pPr>
      <w:r>
        <w:rPr>
          <w:sz w:val="24"/>
        </w:rPr>
        <w:t>2、乙方未能按本合同规定的交货时间交付货物的/提供服务，从逾期之日起每日按本合同总价3‰的数额向甲方支付违约金；逾期半个月以上的，甲方有权终止合同，由此造成的甲方经济损失由乙方承担。</w:t>
      </w:r>
    </w:p>
    <w:p>
      <w:pPr>
        <w:ind w:firstLine="420"/>
        <w:jc w:val="both"/>
      </w:pPr>
      <w:r>
        <w:rPr>
          <w:sz w:val="24"/>
        </w:rPr>
        <w:t>3、甲方无正当理由拒收货物/接受服务，到期拒付货物/服务款项的，甲方向乙方偿付本合同总的5%的违约金。甲方人逾期付款，则每日按本合同总价的3‰向乙方偿付违约金。</w:t>
      </w:r>
    </w:p>
    <w:p>
      <w:pPr>
        <w:ind w:firstLine="420"/>
        <w:jc w:val="both"/>
      </w:pPr>
      <w:r>
        <w:rPr>
          <w:sz w:val="24"/>
        </w:rPr>
        <w:t>4、</w:t>
      </w:r>
      <w:r>
        <w:rPr>
          <w:sz w:val="24"/>
        </w:rPr>
        <w:t>其他</w:t>
      </w:r>
      <w:r>
        <w:rPr>
          <w:sz w:val="24"/>
        </w:rPr>
        <w:t>违约责任按《中华人民共和国民法典（合同编）》处理。</w:t>
      </w:r>
    </w:p>
    <w:p>
      <w:pPr>
        <w:jc w:val="both"/>
      </w:pPr>
      <w:r>
        <w:rPr>
          <w:b/>
          <w:sz w:val="24"/>
        </w:rPr>
        <w:t>九、争议的解决</w:t>
      </w:r>
    </w:p>
    <w:p>
      <w:pPr>
        <w:ind w:firstLine="420"/>
        <w:jc w:val="both"/>
      </w:pPr>
      <w:r>
        <w:rPr>
          <w:sz w:val="24"/>
        </w:rPr>
        <w:t>合同执行过程中发生的任何争议，如双方不能通过友好协商解决，任何一方都有权向甲方所在地有管辖权的人民法院起诉。</w:t>
      </w:r>
    </w:p>
    <w:p>
      <w:pPr>
        <w:jc w:val="both"/>
      </w:pPr>
      <w:r>
        <w:rPr>
          <w:b/>
          <w:sz w:val="24"/>
        </w:rPr>
        <w:t>十、不可抗力</w:t>
      </w:r>
    </w:p>
    <w:p>
      <w:pPr>
        <w:ind w:firstLine="480"/>
        <w:jc w:val="both"/>
      </w:pPr>
      <w:r>
        <w:rPr>
          <w:sz w:val="24"/>
        </w:rPr>
        <w:t>任何一方由于不可抗力原因不能履行合同时，应在不可抗力事件结束后</w:t>
      </w:r>
      <w:r>
        <w:rPr>
          <w:sz w:val="24"/>
        </w:rPr>
        <w:t>1日内向对方通报，以减轻可能给对方造成的损失，在取得有关机构的不可抗力证明或双方谅解确认后，允许延期履行或修订合同，并根据情况可部分或全部免于承担违约责任。</w:t>
      </w:r>
    </w:p>
    <w:p>
      <w:pPr>
        <w:jc w:val="both"/>
      </w:pPr>
      <w:r>
        <w:rPr>
          <w:b/>
          <w:sz w:val="24"/>
        </w:rPr>
        <w:t>十一、税费</w:t>
      </w:r>
    </w:p>
    <w:p>
      <w:pPr>
        <w:ind w:firstLine="420"/>
        <w:jc w:val="both"/>
      </w:pPr>
      <w:r>
        <w:rPr>
          <w:sz w:val="24"/>
        </w:rPr>
        <w:t>在中国境内、外发生的与本合同执行有关的一切税费均由乙方负担。</w:t>
      </w:r>
    </w:p>
    <w:p>
      <w:pPr>
        <w:jc w:val="both"/>
      </w:pPr>
      <w:r>
        <w:rPr>
          <w:b/>
          <w:sz w:val="24"/>
        </w:rPr>
        <w:t>十二、其它</w:t>
      </w:r>
    </w:p>
    <w:p>
      <w:pPr>
        <w:ind w:firstLine="420"/>
        <w:jc w:val="both"/>
      </w:pPr>
      <w:r>
        <w:rPr>
          <w:sz w:val="24"/>
        </w:rPr>
        <w:t>1</w:t>
      </w:r>
      <w:r>
        <w:rPr>
          <w:sz w:val="24"/>
        </w:rPr>
        <w:t>）</w:t>
      </w:r>
      <w:r>
        <w:rPr>
          <w:sz w:val="24"/>
        </w:rPr>
        <w:t>本合同所有附件、招标文件、投标文件、中标通知书均为合同的有效组成部分，与本合同具有同等法律效力。</w:t>
      </w:r>
    </w:p>
    <w:p>
      <w:pPr>
        <w:ind w:firstLine="420"/>
        <w:jc w:val="both"/>
      </w:pPr>
      <w:r>
        <w:rPr>
          <w:sz w:val="24"/>
        </w:rPr>
        <w:t>2</w:t>
      </w:r>
      <w:r>
        <w:rPr>
          <w:sz w:val="24"/>
        </w:rPr>
        <w:t>）</w:t>
      </w:r>
      <w:r>
        <w:rPr>
          <w:sz w:val="24"/>
        </w:rPr>
        <w:t>在执行本合同的过程中，所有经双方签署确认的文件（包括会议纪要、补充协议、往来信函）即成为本合同的有效组成部分。</w:t>
      </w:r>
    </w:p>
    <w:p>
      <w:pPr>
        <w:ind w:firstLine="420"/>
        <w:jc w:val="both"/>
      </w:pPr>
      <w:r>
        <w:rPr>
          <w:sz w:val="24"/>
        </w:rPr>
        <w:t>3</w:t>
      </w:r>
      <w:r>
        <w:rPr>
          <w:sz w:val="24"/>
        </w:rPr>
        <w:t>）</w:t>
      </w:r>
      <w:r>
        <w:rPr>
          <w:sz w:val="24"/>
        </w:rPr>
        <w:t>如一方地址、电话、传真号码有变更，应在变更当日内书面通知对方，否则，应承担相应责任。</w:t>
      </w:r>
    </w:p>
    <w:p>
      <w:pPr>
        <w:ind w:firstLine="420"/>
        <w:jc w:val="both"/>
      </w:pPr>
      <w:r>
        <w:rPr>
          <w:sz w:val="24"/>
        </w:rPr>
        <w:t>4</w:t>
      </w:r>
      <w:r>
        <w:rPr>
          <w:sz w:val="24"/>
        </w:rPr>
        <w:t>）</w:t>
      </w:r>
      <w:r>
        <w:rPr>
          <w:sz w:val="24"/>
        </w:rPr>
        <w:t>除甲方事先书面同意外，乙方不得部分或全部转让其应履行的合同项下的义务。</w:t>
      </w:r>
    </w:p>
    <w:p>
      <w:pPr>
        <w:jc w:val="both"/>
      </w:pPr>
      <w:r>
        <w:rPr>
          <w:b/>
          <w:sz w:val="24"/>
        </w:rPr>
        <w:t>十三、合同生效</w:t>
      </w:r>
    </w:p>
    <w:p>
      <w:pPr>
        <w:ind w:firstLine="420"/>
        <w:jc w:val="both"/>
      </w:pPr>
      <w:r>
        <w:rPr>
          <w:sz w:val="24"/>
        </w:rPr>
        <w:t>1）本合同在甲乙双方法人代表或其授权代表签字盖章后生效。</w:t>
      </w:r>
    </w:p>
    <w:p>
      <w:pPr>
        <w:ind w:firstLine="420"/>
        <w:jc w:val="both"/>
      </w:pPr>
      <w:r>
        <w:rPr>
          <w:sz w:val="24"/>
        </w:rPr>
        <w:t>2）合同一式</w:t>
      </w:r>
      <w:r>
        <w:rPr>
          <w:sz w:val="24"/>
          <w:u w:val="single"/>
        </w:rPr>
        <w:t xml:space="preserve">     </w:t>
      </w:r>
      <w:r>
        <w:rPr>
          <w:sz w:val="24"/>
        </w:rPr>
        <w:t>份，甲方</w:t>
      </w:r>
      <w:r>
        <w:rPr>
          <w:sz w:val="24"/>
          <w:u w:val="single"/>
        </w:rPr>
        <w:t xml:space="preserve">    </w:t>
      </w:r>
      <w:r>
        <w:rPr>
          <w:sz w:val="24"/>
        </w:rPr>
        <w:t>份，乙方</w:t>
      </w:r>
      <w:r>
        <w:rPr>
          <w:sz w:val="24"/>
          <w:u w:val="single"/>
        </w:rPr>
        <w:t xml:space="preserve">    </w:t>
      </w:r>
      <w:r>
        <w:rPr>
          <w:sz w:val="24"/>
        </w:rPr>
        <w:t>份、采购代理机构一份，具有同等法律效力。</w:t>
      </w:r>
    </w:p>
    <w:p>
      <w:pPr>
        <w:ind w:firstLine="420"/>
        <w:jc w:val="both"/>
      </w:pPr>
    </w:p>
    <w:p>
      <w:pPr>
        <w:ind w:firstLine="420"/>
        <w:jc w:val="both"/>
      </w:pPr>
    </w:p>
    <w:p>
      <w:pPr>
        <w:jc w:val="both"/>
      </w:pPr>
      <w:r>
        <w:rPr>
          <w:sz w:val="24"/>
        </w:rPr>
        <w:t>甲方（盖章）：</w:t>
      </w:r>
      <w:r>
        <w:rPr>
          <w:sz w:val="24"/>
        </w:rPr>
        <w:t xml:space="preserve">                                乙方（盖章）：</w:t>
      </w:r>
    </w:p>
    <w:p>
      <w:pPr>
        <w:jc w:val="both"/>
      </w:pPr>
      <w:r>
        <w:rPr>
          <w:sz w:val="24"/>
        </w:rPr>
        <w:t>经办人：</w:t>
      </w:r>
    </w:p>
    <w:p>
      <w:pPr>
        <w:jc w:val="both"/>
      </w:pPr>
      <w:r>
        <w:rPr>
          <w:sz w:val="24"/>
        </w:rPr>
        <w:t>法人代表：</w:t>
      </w:r>
      <w:r>
        <w:rPr>
          <w:sz w:val="24"/>
        </w:rPr>
        <w:t xml:space="preserve">                                   法人代表：</w:t>
      </w:r>
    </w:p>
    <w:p>
      <w:pPr>
        <w:jc w:val="both"/>
      </w:pPr>
      <w:r>
        <w:rPr>
          <w:sz w:val="24"/>
        </w:rPr>
        <w:t>签定地点：</w:t>
      </w:r>
    </w:p>
    <w:p>
      <w:pPr>
        <w:jc w:val="both"/>
      </w:pPr>
      <w:r>
        <w:rPr>
          <w:sz w:val="24"/>
        </w:rPr>
        <w:t>签定日期：</w:t>
      </w:r>
      <w:r>
        <w:rPr>
          <w:sz w:val="24"/>
        </w:rPr>
        <w:t xml:space="preserve">       年    月   日             签定日期：       年    月    日   </w:t>
      </w:r>
    </w:p>
    <w:p>
      <w:pPr>
        <w:jc w:val="both"/>
      </w:pPr>
      <w:r>
        <w:rPr>
          <w:sz w:val="24"/>
        </w:rPr>
        <w:t>开户名称：</w:t>
      </w:r>
    </w:p>
    <w:p>
      <w:pPr>
        <w:jc w:val="both"/>
      </w:pPr>
      <w:r>
        <w:rPr>
          <w:sz w:val="24"/>
        </w:rPr>
        <w:t>银行账号</w:t>
      </w:r>
      <w:r>
        <w:rPr>
          <w:sz w:val="24"/>
        </w:rPr>
        <w:t>：</w:t>
      </w:r>
    </w:p>
    <w:p>
      <w:pPr>
        <w:jc w:val="both"/>
      </w:pPr>
      <w:r>
        <w:rPr>
          <w:sz w:val="24"/>
        </w:rPr>
        <w:t>开</w:t>
      </w:r>
      <w:r>
        <w:rPr>
          <w:sz w:val="24"/>
        </w:rPr>
        <w:t>户 行：</w:t>
      </w:r>
    </w:p>
    <w:p>
      <w:pPr>
        <w:jc w:val="both"/>
      </w:pPr>
    </w:p>
    <w:p/>
    <w:p>
      <w:pPr>
        <w:ind w:firstLine="480"/>
      </w:pPr>
    </w:p>
    <w:p>
      <w:r>
        <w:rPr/>
        <w:t xml:space="preserve"> </w:t>
      </w:r>
    </w:p>
    <w:p/>
    <w:p>
      <w:pPr>
        <w:jc w:val="center"/>
      </w:pPr>
      <w:r>
        <w:rPr>
          <w:b/>
          <w:sz w:val="36"/>
        </w:rPr>
        <w:t>第六章 投标文件格式与要求</w:t>
      </w:r>
    </w:p>
    <w:p>
      <w:pPr>
        <w:ind w:firstLine="480"/>
      </w:pPr>
      <w:r>
        <w:rPr/>
        <w:t>投标人应提交证明其有资格参加投标和中标后有能力履行合同的相关文件，并作为其投标文件的一部分，所有文件必须真实可靠、不得伪造，否则将按相关规定予以处罚。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4.投标人参加政府采购前三年内在经营活动中没有重大违法记录书面声明函。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（2）查询截止时点：提交投标文件截止日当天；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ind w:firstLine="480"/>
      </w:pPr>
      <w:r>
        <w:rPr/>
        <w:t>6. 按照招标文件要求，投标人应当提交的资格、资信证明文件。</w:t>
      </w:r>
    </w:p>
    <w:p>
      <w:pPr>
        <w:ind w:firstLine="480"/>
      </w:pPr>
    </w:p>
    <w:p>
      <w:r>
        <w:rPr/>
        <w:t xml:space="preserve"> </w:t>
      </w:r>
      <w:r>
        <w:br/>
      </w:r>
    </w:p>
    <w:p/>
    <w:p>
      <w:pPr>
        <w:jc w:val="center"/>
      </w:pPr>
      <w:r>
        <w:rPr>
          <w:b/>
          <w:sz w:val="48"/>
        </w:rPr>
        <w:t>投标文件封面</w:t>
      </w:r>
    </w:p>
    <w:p/>
    <w:p>
      <w:pPr>
        <w:jc w:val="center"/>
      </w:pPr>
      <w:r>
        <w:rPr>
          <w:b/>
          <w:sz w:val="48"/>
        </w:rPr>
        <w:t>（项目名称）</w:t>
      </w:r>
    </w:p>
    <w:p>
      <w:pPr>
        <w:jc w:val="center"/>
      </w:pPr>
      <w:r>
        <w:rPr>
          <w:b/>
          <w:sz w:val="48"/>
        </w:rPr>
        <w:t>投标文件封面</w:t>
      </w:r>
    </w:p>
    <w:p>
      <w:pPr>
        <w:jc w:val="center"/>
      </w:pPr>
      <w:r>
        <w:rPr>
          <w:b/>
          <w:sz w:val="48"/>
        </w:rPr>
        <w:t>（正本/副本）</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445301-2022-01568</w:t>
      </w:r>
    </w:p>
    <w:p>
      <w:pPr>
        <w:jc w:val="center"/>
      </w:pPr>
      <w:r>
        <w:rPr>
          <w:b/>
          <w:sz w:val="24"/>
        </w:rPr>
        <w:t>采购项目编号：</w:t>
      </w:r>
      <w:r>
        <w:rPr>
          <w:b/>
          <w:sz w:val="24"/>
        </w:rPr>
        <w:t>GDWXYF-2022-CG006</w:t>
      </w:r>
    </w:p>
    <w:p>
      <w:pPr>
        <w:jc w:val="center"/>
      </w:pPr>
      <w:r>
        <w:rPr>
          <w:b/>
          <w:sz w:val="24"/>
        </w:rPr>
        <w:t>所投采购包：第 包</w:t>
      </w:r>
    </w:p>
    <w:p/>
    <w:p>
      <w:pPr>
        <w:jc w:val="center"/>
      </w:pPr>
      <w:r>
        <w:rPr>
          <w:b/>
          <w:sz w:val="24"/>
        </w:rPr>
        <w:t>（投标人名称）</w:t>
      </w:r>
    </w:p>
    <w:p>
      <w:pPr>
        <w:jc w:val="center"/>
      </w:pPr>
      <w:r>
        <w:rPr>
          <w:b/>
          <w:sz w:val="24"/>
        </w:rPr>
        <w:t>年 月 日</w:t>
      </w:r>
    </w:p>
    <w:p>
      <w:pPr>
        <w:ind w:firstLine="480"/>
      </w:pPr>
    </w:p>
    <w:p>
      <w:r>
        <w:rPr/>
        <w:t xml:space="preserve"> </w:t>
      </w:r>
    </w:p>
    <w:p/>
    <w:p>
      <w:pPr>
        <w:jc w:val="center"/>
      </w:pPr>
      <w:r>
        <w:rPr>
          <w:b/>
          <w:sz w:val="24"/>
        </w:rPr>
        <w:t>投标文件目录</w:t>
      </w:r>
    </w:p>
    <w:p>
      <w:pPr>
        <w:ind w:firstLine="480"/>
      </w:pPr>
      <w:r>
        <w:rPr/>
        <w:t>一、投标函</w:t>
      </w:r>
    </w:p>
    <w:p>
      <w:pPr>
        <w:ind w:firstLine="480"/>
      </w:pPr>
      <w:r>
        <w:rPr/>
        <w:t>二、开标一览表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七、投标保证金</w:t>
      </w:r>
    </w:p>
    <w:p>
      <w:pPr>
        <w:ind w:firstLine="480"/>
      </w:pPr>
      <w:r>
        <w:rPr/>
        <w:t>八、提供具有独立承担民事责任的能力的证明材料</w:t>
      </w:r>
    </w:p>
    <w:p>
      <w:pPr>
        <w:ind w:firstLine="480"/>
      </w:pPr>
      <w:r>
        <w:rPr/>
        <w:t>九、资格性审查要求的其他资质证明文件</w:t>
      </w:r>
    </w:p>
    <w:p>
      <w:pPr>
        <w:ind w:firstLine="480"/>
      </w:pPr>
      <w:r>
        <w:rPr/>
        <w:t>十、承诺函</w:t>
      </w:r>
    </w:p>
    <w:p>
      <w:pPr>
        <w:ind w:firstLine="480"/>
      </w:pPr>
      <w:r>
        <w:rPr/>
        <w:t>十一、中小企业声明函</w:t>
      </w:r>
    </w:p>
    <w:p>
      <w:pPr>
        <w:ind w:firstLine="480"/>
      </w:pPr>
      <w:r>
        <w:rPr/>
        <w:t>十二、监狱企业</w:t>
      </w:r>
    </w:p>
    <w:p>
      <w:pPr>
        <w:ind w:firstLine="480"/>
      </w:pPr>
      <w:r>
        <w:rPr/>
        <w:t>十三、残疾人福利性单位声明函</w:t>
      </w:r>
    </w:p>
    <w:p>
      <w:pPr>
        <w:ind w:firstLine="480"/>
      </w:pPr>
      <w:r>
        <w:rPr/>
        <w:t>十四、联合体共同投标协议书</w:t>
      </w:r>
    </w:p>
    <w:p>
      <w:pPr>
        <w:ind w:firstLine="480"/>
      </w:pPr>
      <w:r>
        <w:rPr/>
        <w:t>十五、投标人业绩情况表</w:t>
      </w:r>
    </w:p>
    <w:p>
      <w:pPr>
        <w:ind w:firstLine="480"/>
      </w:pPr>
      <w:r>
        <w:rPr/>
        <w:t>十六、技术和服务要求响应表</w:t>
      </w:r>
    </w:p>
    <w:p>
      <w:pPr>
        <w:ind w:firstLine="480"/>
      </w:pPr>
      <w:r>
        <w:rPr/>
        <w:t>十七、商务条件响应表</w:t>
      </w:r>
    </w:p>
    <w:p>
      <w:pPr>
        <w:ind w:firstLine="480"/>
      </w:pPr>
      <w:r>
        <w:rPr/>
        <w:t>十八、履约进度计划表</w:t>
      </w:r>
    </w:p>
    <w:p>
      <w:pPr>
        <w:ind w:firstLine="480"/>
      </w:pPr>
      <w:r>
        <w:rPr/>
        <w:t>十九、各类证明材料</w:t>
      </w:r>
    </w:p>
    <w:p>
      <w:pPr>
        <w:ind w:firstLine="480"/>
      </w:pPr>
      <w:r>
        <w:rPr/>
        <w:t>二十、采购代理服务费支付承诺书</w:t>
      </w:r>
    </w:p>
    <w:p>
      <w:pPr>
        <w:ind w:firstLine="480"/>
      </w:pPr>
      <w:r>
        <w:rPr/>
        <w:t>二十一、需要采购人提供的附加条件</w:t>
      </w:r>
    </w:p>
    <w:p>
      <w:pPr>
        <w:ind w:firstLine="480"/>
      </w:pPr>
      <w:r>
        <w:rPr/>
        <w:t>二十二、询问函、质疑函、投诉书格式</w:t>
      </w:r>
    </w:p>
    <w:p>
      <w:pPr>
        <w:ind w:firstLine="480"/>
      </w:pPr>
      <w:r>
        <w:rPr/>
        <w:t>二十三、项目实施方案、质量保证及售后服务承诺等</w:t>
      </w:r>
    </w:p>
    <w:p>
      <w:pPr>
        <w:ind w:firstLine="480"/>
      </w:pPr>
      <w:r>
        <w:rPr/>
        <w:t>二十四、附件</w:t>
      </w:r>
    </w:p>
    <w:p>
      <w:pPr>
        <w:ind w:firstLine="480"/>
      </w:pPr>
    </w:p>
    <w:p>
      <w:r>
        <w:rPr/>
        <w:t xml:space="preserve"> </w:t>
      </w:r>
    </w:p>
    <w:p/>
    <w:p>
      <w:r>
        <w:rPr>
          <w:b/>
          <w:sz w:val="28"/>
        </w:rPr>
        <w:t>格式一：</w:t>
      </w:r>
    </w:p>
    <w:p>
      <w:r>
        <w:rPr>
          <w:b/>
          <w:sz w:val="24"/>
        </w:rPr>
        <w:t>投标函</w:t>
      </w:r>
    </w:p>
    <w:p>
      <w:pPr>
        <w:ind w:firstLine="480"/>
      </w:pPr>
      <w:r>
        <w:rPr/>
        <w:t>致：</w:t>
      </w:r>
      <w:r>
        <w:rPr>
          <w:u w:val="single"/>
        </w:rPr>
        <w:t>广东万雄项目管理有限公司</w:t>
      </w:r>
    </w:p>
    <w:p>
      <w:pPr>
        <w:ind w:firstLine="480"/>
      </w:pPr>
      <w:r>
        <w:rPr/>
        <w:t>你方组织的</w:t>
      </w:r>
      <w:r>
        <w:rPr>
          <w:u w:val="single"/>
        </w:rPr>
        <w:t>云浮市应急物资保障体系建设补助资金（中央直达资金）项目</w:t>
      </w:r>
      <w:r>
        <w:rPr/>
        <w:t>项目的招标[采购项目编号为：</w:t>
      </w:r>
      <w:r>
        <w:rPr>
          <w:u w:val="single"/>
        </w:rPr>
        <w:t>GDWXYF-2022-CG006</w:t>
      </w:r>
      <w:r>
        <w:rPr/>
        <w:t>]，我方愿参与投标。</w:t>
      </w:r>
    </w:p>
    <w:p>
      <w:pPr>
        <w:ind w:firstLine="480"/>
      </w:pPr>
      <w:r>
        <w:rPr/>
        <w:t>我方确认收到贵方提供的</w:t>
      </w:r>
      <w:r>
        <w:rPr>
          <w:u w:val="single"/>
        </w:rPr>
        <w:t>云浮市应急物资保障体系建设补助资金（中央直达资金）项目</w:t>
      </w:r>
      <w:r>
        <w:rPr/>
        <w:t>项目的招标文件的全部内容。</w:t>
      </w:r>
    </w:p>
    <w:p>
      <w:pPr>
        <w:ind w:firstLine="480"/>
      </w:pPr>
      <w:r>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ind w:firstLine="480"/>
      </w:pPr>
      <w:r>
        <w:rPr>
          <w:u w:val="single"/>
        </w:rPr>
        <w:t>(投标人名称)</w:t>
      </w:r>
      <w:r>
        <w:rPr/>
        <w:t>作为投标人正式授权</w:t>
      </w:r>
      <w:r>
        <w:rPr>
          <w:u w:val="single"/>
        </w:rPr>
        <w:t>(授权代表全名,职务)</w:t>
      </w:r>
      <w:r>
        <w:rPr/>
        <w:t>代表我方全权处理有关本投标的一切事宜。</w:t>
      </w:r>
    </w:p>
    <w:p>
      <w:pPr>
        <w:ind w:firstLine="480"/>
      </w:pPr>
      <w:r>
        <w:rPr/>
        <w:t>我方已完全明白招标文件的所有条款要求，并申明如下：</w:t>
      </w:r>
    </w:p>
    <w:p>
      <w:pPr>
        <w:ind w:firstLine="480"/>
      </w:pPr>
      <w:r>
        <w:rPr/>
        <w:t>（一）按招标文件提供的全部货物与相关服务的投标总价详见《开标一览表》。</w:t>
      </w:r>
    </w:p>
    <w:p>
      <w:pPr>
        <w:ind w:firstLine="480"/>
      </w:pPr>
      <w:r>
        <w:rPr/>
        <w:t>（二）本投标文件的有效期为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pPr>
      <w:r>
        <w:rPr/>
        <w:t>（三）我方明白并同意，在规定的开标日之后，投标有效期之内撤回投标或中标后不按规定与采购人签订合同或不提交履约保证金, 则贵方将不予退还投标保证金。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（五）我方理解贵方不一定接受最低投标价或任何贵方可能收到的投标。</w:t>
      </w:r>
    </w:p>
    <w:p>
      <w:pPr>
        <w:ind w:firstLine="480"/>
      </w:pPr>
      <w:r>
        <w:rPr/>
        <w:t>（六）我方如果中标，将保证履行招标文件及其澄清、修改文件（如果有）中的全部责任和义务，按质、按量、按期完成《采购需求》及《合同书》中的全部任务。</w:t>
      </w:r>
    </w:p>
    <w:p>
      <w:pPr>
        <w:ind w:firstLine="480"/>
      </w:pPr>
      <w:r>
        <w:rPr/>
        <w:t>（七）我方作为法律、财务和运作上独立于采购人、采购代理机构的投标人，在此保证所提交的所有文件和全部说明是真实的和正确的。</w:t>
      </w:r>
    </w:p>
    <w:p>
      <w:pPr>
        <w:ind w:firstLine="480"/>
      </w:pPr>
      <w:r>
        <w:rPr/>
        <w:t>（八）我方投标报价已包含应向知识产权所有权人支付的所有相关税费，并保证采购人在中国使用我方提供的货物时，如有第三方提出侵犯其知识产权主张的，责任由我方承担。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（九）我方接受采购人委托向贵方支付代理服务费，项目总报价已包含代理服务费，如果被确定为中标供应商，承诺向贵方足额支付。（若采购人支付代理服务费，则此条不适用）</w:t>
      </w:r>
    </w:p>
    <w:p>
      <w:pPr>
        <w:ind w:firstLine="480"/>
      </w:pPr>
      <w:r>
        <w:rPr/>
        <w:t>（十）我方与其他投标人不存在单位负责人为同一人或者存在直接控股、管理关系。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以上内容如有虚假或与事实不符的，评标委员会可将我方做无效投标处理，我方愿意承担相应的法律责任。</w:t>
      </w:r>
    </w:p>
    <w:p>
      <w:pPr>
        <w:ind w:firstLine="480"/>
      </w:pPr>
      <w:r>
        <w:rPr/>
        <w:t>（十四）我方对在本函及投标文件中所作的所有承诺承担法律责任。</w:t>
      </w:r>
    </w:p>
    <w:p>
      <w:pPr>
        <w:ind w:firstLine="480"/>
      </w:pPr>
      <w:r>
        <w:rPr/>
        <w:t>（十五）所有与本招标有关的函件请发往下列地址：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w:t>
      </w:r>
    </w:p>
    <w:p>
      <w:pPr>
        <w:ind w:firstLine="480"/>
      </w:pPr>
      <w:r>
        <w:rPr/>
        <w:t>代表姓名：__________________职 务：__________________</w:t>
      </w:r>
    </w:p>
    <w:p>
      <w:pPr>
        <w:ind w:firstLine="480"/>
      </w:pPr>
    </w:p>
    <w:p>
      <w:pPr>
        <w:ind w:firstLine="480"/>
      </w:pPr>
    </w:p>
    <w:p>
      <w:pPr>
        <w:ind w:firstLine="480"/>
      </w:pPr>
    </w:p>
    <w:p>
      <w:pPr>
        <w:ind w:firstLine="480"/>
      </w:pPr>
    </w:p>
    <w:p>
      <w:r>
        <w:rPr/>
        <w:t>投标人法定代表人（或法定代表人授权代表）签字或盖章：__________________</w:t>
      </w:r>
    </w:p>
    <w:p>
      <w:r>
        <w:rPr/>
        <w:t>投标人名称（盖章）：__________________</w:t>
      </w:r>
    </w:p>
    <w:p>
      <w:r>
        <w:rPr/>
        <w:t>日期： 年 月 日</w:t>
      </w:r>
    </w:p>
    <w:p>
      <w:pPr>
        <w:ind w:firstLine="480"/>
      </w:pPr>
    </w:p>
    <w:p>
      <w:r>
        <w:rPr/>
        <w:t xml:space="preserve"> </w:t>
      </w:r>
    </w:p>
    <w:p/>
    <w:p>
      <w:r>
        <w:rPr>
          <w:b/>
          <w:sz w:val="28"/>
        </w:rPr>
        <w:t>格式二：</w:t>
      </w:r>
    </w:p>
    <w:p>
      <w:pPr>
        <w:jc w:val="center"/>
      </w:pPr>
      <w:r>
        <w:rPr>
          <w:b/>
          <w:sz w:val="24"/>
        </w:rPr>
        <w:t>开标一览表</w:t>
      </w:r>
    </w:p>
    <w:p>
      <w:pPr>
        <w:ind w:firstLine="480"/>
      </w:pPr>
      <w:r>
        <w:rP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投标报价（元/%）</w:t>
            </w:r>
          </w:p>
        </w:tc>
        <w:tc>
          <w:tcPr>
            <w:tcW w:type="dxa" w:w="1661"/>
          </w:tcPr>
          <w:p>
            <w:r>
              <w:rPr/>
              <w:t>交货或服务期</w:t>
            </w:r>
          </w:p>
        </w:tc>
        <w:tc>
          <w:tcPr>
            <w:tcW w:type="dxa" w:w="1661"/>
          </w:tcPr>
          <w:p>
            <w:r>
              <w:rPr/>
              <w:t>交货或服务地点</w:t>
            </w:r>
          </w:p>
        </w:tc>
      </w:tr>
      <w:tr>
        <w:tc>
          <w:tcPr>
            <w:tcW w:type="dxa" w:w="1661"/>
          </w:tcPr>
          <w:p>
            <w:r>
              <w:rPr/>
              <w:t>1</w:t>
            </w:r>
          </w:p>
        </w:tc>
        <w:tc>
          <w:tcPr>
            <w:tcW w:type="dxa" w:w="1661"/>
          </w:tcPr>
          <w:p/>
        </w:tc>
        <w:tc>
          <w:tcPr>
            <w:tcW w:type="dxa" w:w="1661"/>
          </w:tcPr>
          <w:p/>
        </w:tc>
        <w:tc>
          <w:tcPr>
            <w:tcW w:type="dxa" w:w="1661"/>
          </w:tcPr>
          <w:p/>
        </w:tc>
        <w:tc>
          <w:tcPr>
            <w:tcW w:type="dxa" w:w="1661"/>
          </w:tcPr>
          <w:p/>
        </w:tc>
      </w:tr>
    </w:tbl>
    <w:p>
      <w:r>
        <w:rPr/>
        <w:t>投标人签章：__________________</w:t>
      </w:r>
    </w:p>
    <w:p>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p>
      <w:pPr>
        <w:ind w:firstLine="480"/>
      </w:pPr>
      <w:r>
        <w:rPr/>
        <w:t>采购包：</w:t>
      </w:r>
    </w:p>
    <w:p>
      <w:r>
        <w:rPr/>
        <w:t>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rPr/>
        <w:t>投标人签章：__________________</w:t>
      </w:r>
    </w:p>
    <w:p>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2.“节能产品、环境标志产品”须填写认证证书编号，并在对应“节能产品”、“环境标志产品”栏中勾选，同时提供有效期内的证书复印件（加盖投标人公章）</w:t>
      </w:r>
    </w:p>
    <w:p>
      <w:r>
        <w:rPr/>
        <w:t xml:space="preserve"> 投标人名称（盖章）：__________________</w:t>
      </w:r>
    </w:p>
    <w:p>
      <w:r>
        <w:rPr/>
        <w:t>日期： 年 月 日</w:t>
      </w:r>
    </w:p>
    <w:p>
      <w:pPr>
        <w:ind w:firstLine="480"/>
      </w:pPr>
    </w:p>
    <w:p>
      <w:r>
        <w:rPr/>
        <w:t xml:space="preserve"> </w:t>
      </w:r>
    </w:p>
    <w:p/>
    <w:p>
      <w:r>
        <w:rPr>
          <w:b/>
          <w:sz w:val="28"/>
        </w:rPr>
        <w:t>格式五：</w:t>
      </w:r>
    </w:p>
    <w:p>
      <w:pPr>
        <w:ind w:firstLine="480"/>
      </w:pPr>
      <w:r>
        <w:rPr/>
        <w:t>（投标人可使用下述格式，也可使用广东省工商行政管理局统一印制的法定代表人证明书格式）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w:t>
      </w:r>
    </w:p>
    <w:p>
      <w:pPr>
        <w:ind w:firstLine="480"/>
      </w:pPr>
    </w:p>
    <w:p>
      <w:pPr>
        <w:ind w:firstLine="480"/>
      </w:pPr>
    </w:p>
    <w:p>
      <w:r>
        <w:rPr/>
        <w:t xml:space="preserve"> 投标人名称（盖章）：__________________</w:t>
      </w:r>
    </w:p>
    <w:p>
      <w:r>
        <w:rPr/>
        <w:t xml:space="preserve"> 地址：__________________</w:t>
      </w:r>
    </w:p>
    <w:p>
      <w:r>
        <w:rPr/>
        <w:t xml:space="preserve"> 法定代表人（签字或盖章）：__________________</w:t>
      </w:r>
    </w:p>
    <w:p>
      <w:r>
        <w:rPr/>
        <w:t xml:space="preserve"> 职务：__________________</w:t>
      </w:r>
    </w:p>
    <w:p>
      <w:r>
        <w:rPr/>
        <w:t>日期： 年 月 日</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（对于银行、保险、电信、邮政、铁路等行业以及获得总公司投标授权的分公司，可以提供投标分支机构负责人授权书）</w:t>
      </w:r>
    </w:p>
    <w:p>
      <w:pPr>
        <w:jc w:val="center"/>
      </w:pPr>
      <w:r>
        <w:rPr>
          <w:b/>
          <w:sz w:val="24"/>
        </w:rPr>
        <w:t>法定代表人授权书</w:t>
      </w:r>
    </w:p>
    <w:p>
      <w:pPr>
        <w:ind w:firstLine="480"/>
      </w:pPr>
      <w:r>
        <w:rPr/>
        <w:t>致：</w:t>
      </w:r>
      <w:r>
        <w:rPr/>
        <w:t>广东万雄项目管理有限公司</w:t>
      </w:r>
    </w:p>
    <w:p>
      <w:pPr>
        <w:ind w:firstLine="480"/>
      </w:pPr>
      <w:r>
        <w:rPr/>
        <w:t>本授权书声明：________是注册于</w:t>
      </w:r>
      <w:r>
        <w:rPr>
          <w:u w:val="single"/>
        </w:rPr>
        <w:t>（国家或地区）</w:t>
      </w:r>
      <w:r>
        <w:rPr/>
        <w:t>的</w:t>
      </w:r>
      <w:r>
        <w:rPr>
          <w:u w:val="single"/>
        </w:rPr>
        <w:t>（投标人名称）</w:t>
      </w:r>
      <w:r>
        <w:rPr/>
        <w:t>的法定代表人，现任________职务，有效证件号码：________________。现授权</w:t>
      </w:r>
      <w:r>
        <w:rPr>
          <w:u w:val="single"/>
        </w:rPr>
        <w:t>（姓名、职务）</w:t>
      </w:r>
      <w:r>
        <w:rPr/>
        <w:t>作为我公司的全权代理人，就</w:t>
      </w:r>
      <w:r>
        <w:rPr/>
        <w:t>云浮市应急物资保障体系建设补助资金（中央直达资金）项目</w:t>
      </w:r>
      <w:r>
        <w:rPr/>
        <w:t>项目采购[采购项目编号为</w:t>
      </w:r>
      <w:r>
        <w:rPr/>
        <w:t>GDWXYF-2022-CG006</w:t>
      </w:r>
      <w:r>
        <w:rPr/>
        <w:t>]的投标和合同执行，以我方的名义处理一切与之有关的事宜。</w:t>
      </w:r>
    </w:p>
    <w:p>
      <w:pPr>
        <w:ind w:firstLine="480"/>
      </w:pPr>
      <w:r>
        <w:rPr/>
        <w:t>本授权书于________年________月________日签字生效，特此声明。</w:t>
      </w:r>
    </w:p>
    <w:p>
      <w:r>
        <w:rPr/>
        <w:t xml:space="preserve"> 投标人（盖章）：__________________</w:t>
      </w:r>
    </w:p>
    <w:p>
      <w:r>
        <w:rPr/>
        <w:t xml:space="preserve"> 地址：__________________</w:t>
      </w:r>
    </w:p>
    <w:p>
      <w:r>
        <w:rPr/>
        <w:t xml:space="preserve"> 法定代表人（签字或盖章）：__________________</w:t>
      </w:r>
    </w:p>
    <w:p>
      <w:r>
        <w:rPr/>
        <w:t xml:space="preserve"> 职务：__________________</w:t>
      </w:r>
    </w:p>
    <w:p>
      <w:r>
        <w:rPr/>
        <w:t xml:space="preserve"> 被授权人（签字或盖章）：__________________</w:t>
      </w:r>
    </w:p>
    <w:p>
      <w:r>
        <w:rPr/>
        <w:t xml:space="preserve"> 职务：__________________</w:t>
      </w:r>
    </w:p>
    <w:p>
      <w:r>
        <w:rPr/>
        <w:t>日期： 年 月 日</w:t>
      </w:r>
    </w:p>
    <w:p>
      <w:pPr>
        <w:ind w:firstLine="480"/>
      </w:pPr>
    </w:p>
    <w:p>
      <w:r>
        <w:rPr/>
        <w:t xml:space="preserve"> </w:t>
      </w:r>
    </w:p>
    <w:p/>
    <w:p>
      <w:r>
        <w:rPr>
          <w:b/>
          <w:sz w:val="28"/>
        </w:rPr>
        <w:t>格式七：</w:t>
      </w:r>
    </w:p>
    <w:p>
      <w:pPr>
        <w:jc w:val="center"/>
      </w:pPr>
      <w:r>
        <w:rPr>
          <w:b/>
          <w:sz w:val="24"/>
        </w:rPr>
        <w:t>投标保证金</w:t>
      </w:r>
    </w:p>
    <w:p>
      <w:pPr>
        <w:ind w:firstLine="480"/>
      </w:pPr>
      <w:r>
        <w:rPr/>
        <w:t>采购文件要求递交投标保证金的，投标人应在此提供保证金的凭证的复印件。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详见资格性条款要求</w:t>
      </w:r>
    </w:p>
    <w:p>
      <w:pPr>
        <w:ind w:firstLine="480"/>
      </w:pPr>
      <w:r>
        <w:rPr/>
        <w:t>设备和专业技术能力情况表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8304"/>
            <w:gridSpan w:val="4"/>
          </w:tcPr>
          <w:p>
            <w:r>
              <w:rPr/>
              <w:t>我单位为本项目实施提供以下设备和专业技术人员：</w:t>
            </w:r>
          </w:p>
        </w:tc>
      </w:tr>
      <w:tr>
        <w:tc>
          <w:tcPr>
            <w:tcW w:type="dxa" w:w="2076"/>
          </w:tcPr>
          <w:p>
            <w:r>
              <w:rPr/>
              <w:t>序号</w:t>
            </w:r>
          </w:p>
        </w:tc>
        <w:tc>
          <w:tcPr>
            <w:tcW w:type="dxa" w:w="2076"/>
          </w:tcPr>
          <w:p>
            <w:r>
              <w:rPr/>
              <w:t>设备名称和专业技术人员</w:t>
            </w:r>
          </w:p>
        </w:tc>
        <w:tc>
          <w:tcPr>
            <w:tcW w:type="dxa" w:w="2076"/>
          </w:tcPr>
          <w:p>
            <w:r>
              <w:rPr/>
              <w:t>数量及单位</w:t>
            </w:r>
          </w:p>
        </w:tc>
        <w:tc>
          <w:tcPr>
            <w:tcW w:type="dxa" w:w="2076"/>
          </w:tcPr>
          <w:p>
            <w:r>
              <w:rPr/>
              <w:t>备注</w:t>
            </w:r>
          </w:p>
        </w:tc>
      </w:tr>
      <w:tr>
        <w:tc>
          <w:tcPr>
            <w:tcW w:type="dxa" w:w="2076"/>
          </w:tcPr>
          <w:p>
            <w:r>
              <w:rPr/>
              <w:t>1</w:t>
            </w:r>
          </w:p>
        </w:tc>
        <w:tc>
          <w:tcPr>
            <w:tcW w:type="dxa" w:w="2076"/>
          </w:tcPr>
          <w:p/>
        </w:tc>
        <w:tc>
          <w:tcPr>
            <w:tcW w:type="dxa" w:w="2076"/>
          </w:tcPr>
          <w:p/>
        </w:tc>
        <w:tc>
          <w:tcPr>
            <w:tcW w:type="dxa" w:w="2076"/>
          </w:tcPr>
          <w:p/>
        </w:tc>
      </w:tr>
      <w:tr>
        <w:tc>
          <w:tcPr>
            <w:tcW w:type="dxa" w:w="2076"/>
          </w:tcPr>
          <w:p>
            <w:r>
              <w:rPr/>
              <w:t>2</w:t>
            </w:r>
          </w:p>
        </w:tc>
        <w:tc>
          <w:tcPr>
            <w:tcW w:type="dxa" w:w="2076"/>
          </w:tcPr>
          <w:p/>
        </w:tc>
        <w:tc>
          <w:tcPr>
            <w:tcW w:type="dxa" w:w="2076"/>
          </w:tcPr>
          <w:p/>
        </w:tc>
        <w:tc>
          <w:tcPr>
            <w:tcW w:type="dxa" w:w="2076"/>
          </w:tcPr>
          <w:p/>
        </w:tc>
      </w:tr>
      <w:tr>
        <w:tc>
          <w:tcPr>
            <w:tcW w:type="dxa" w:w="2076"/>
          </w:tcPr>
          <w:p>
            <w:r>
              <w:rPr/>
              <w:t>3</w:t>
            </w:r>
          </w:p>
        </w:tc>
        <w:tc>
          <w:tcPr>
            <w:tcW w:type="dxa" w:w="2076"/>
          </w:tcPr>
          <w:p/>
        </w:tc>
        <w:tc>
          <w:tcPr>
            <w:tcW w:type="dxa" w:w="2076"/>
          </w:tcPr>
          <w:p/>
        </w:tc>
        <w:tc>
          <w:tcPr>
            <w:tcW w:type="dxa" w:w="2076"/>
          </w:tcPr>
          <w:p/>
        </w:tc>
      </w:tr>
      <w:tr>
        <w:tc>
          <w:tcPr>
            <w:tcW w:type="dxa" w:w="2076"/>
          </w:tcPr>
          <w:p>
            <w:r>
              <w:rPr/>
              <w:t>…</w:t>
            </w:r>
          </w:p>
        </w:tc>
        <w:tc>
          <w:tcPr>
            <w:tcW w:type="dxa" w:w="2076"/>
          </w:tcPr>
          <w:p/>
        </w:tc>
        <w:tc>
          <w:tcPr>
            <w:tcW w:type="dxa" w:w="2076"/>
          </w:tcPr>
          <w:p/>
        </w:tc>
        <w:tc>
          <w:tcPr>
            <w:tcW w:type="dxa" w:w="2076"/>
          </w:tcPr>
          <w:p/>
        </w:tc>
      </w:tr>
    </w:tbl>
    <w:p>
      <w:pPr>
        <w:ind w:firstLine="480"/>
      </w:pPr>
    </w:p>
    <w:p>
      <w:r>
        <w:rPr/>
        <w:t xml:space="preserve"> </w:t>
      </w:r>
    </w:p>
    <w:p/>
    <w:p>
      <w:r>
        <w:rPr>
          <w:b/>
          <w:sz w:val="28"/>
        </w:rPr>
        <w:t>格式十：</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云浮市粮食和物资储备中心</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格式十一：</w:t>
      </w:r>
    </w:p>
    <w:p>
      <w:pPr>
        <w:ind w:firstLine="480"/>
      </w:pPr>
      <w:r>
        <w:rPr/>
        <w:t>（以下格式文件由供应商根据需要选用）</w:t>
      </w:r>
    </w:p>
    <w:p>
      <w:pPr>
        <w:ind w:firstLine="480"/>
      </w:pPr>
      <w:r>
        <w:rPr/>
        <w:t>中小企业声明函（所投产品制造商为中小企业时提交本函，所属行业应符合采购文件中明确的本项目所属行业）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中小企业声明函（承建本项目工程为中小企业或者承接本项目服务为中小企业时提交本函，所属行业应符合采购文件中明确的本项目所属行业）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r>
        <w:rPr/>
        <w:t>1：从业人员、营业收入、资产总额填报上一年度数据，无上一年度数据的新成立企业可不填报。</w:t>
      </w:r>
    </w:p>
    <w:p>
      <w:pPr>
        <w:ind w:firstLine="480"/>
      </w:pPr>
      <w:r>
        <w:rPr/>
        <w:t>2：投标人应当自行核实是否属于小微企业，并认真填写声明函，若有虚假将追究其责任。</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r>
        <w:rPr/>
        <w:t xml:space="preserve"> 单位名称（盖章）：__________________</w:t>
      </w:r>
    </w:p>
    <w:p>
      <w:r>
        <w:rPr/>
        <w:t>日期： 年 月 日</w:t>
      </w:r>
    </w:p>
    <w:p>
      <w:pPr>
        <w:ind w:firstLine="480"/>
      </w:pPr>
      <w:r>
        <w:rPr/>
        <w:t>注：本函未填写或未勾选视作未做声明。</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联合体共同投标协议书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共同组成一个联合体，以一个投标人的身份共同参加本项目的响应。（甲公司全称）、（乙公司全称）、（……公司全称）作为联合体成员，若中标，联合体各方共同与签订政府采购合同。</w:t>
      </w:r>
    </w:p>
    <w:p>
      <w:pPr>
        <w:ind w:firstLine="480"/>
      </w:pPr>
      <w:r>
        <w:rPr/>
        <w:t>二、联合体内部有关事项约定如下：</w:t>
      </w:r>
    </w:p>
    <w:p>
      <w:pPr>
        <w:ind w:firstLine="480"/>
      </w:pPr>
      <w:r>
        <w:rPr/>
        <w:t>1.（甲公司全称）作为联合体的牵头单位，代表联合体双方负责投标和合同实施阶段的主办、协调工作。</w:t>
      </w:r>
    </w:p>
    <w:p>
      <w:pPr>
        <w:ind w:firstLine="480"/>
      </w:pPr>
      <w:r>
        <w:rPr/>
        <w:t>2.联合体将严格按照文件的各项要求，递交投标文件，切实执行一切合同文件，共同承担合同规定的一切义务和责任，同时按照内部职责的划分，承担自身所负的责任和风险，在法律在承担连带责任。</w:t>
      </w:r>
    </w:p>
    <w:p>
      <w:pPr>
        <w:ind w:firstLine="480"/>
      </w:pPr>
      <w:r>
        <w:rPr/>
        <w:t>3.如果本联合体中标，</w:t>
      </w:r>
      <w:r>
        <w:rPr>
          <w:u w:val="single"/>
        </w:rPr>
        <w:t>（甲公司全称）</w:t>
      </w:r>
      <w:r>
        <w:rPr/>
        <w:t>负责本项目___________部分，</w:t>
      </w:r>
      <w:r>
        <w:rPr>
          <w:u w:val="single"/>
        </w:rPr>
        <w:t>（乙公司全称）</w:t>
      </w:r>
      <w:r>
        <w:rPr/>
        <w:t>负责本项目___________部分。</w:t>
      </w:r>
    </w:p>
    <w:p>
      <w:pPr>
        <w:ind w:firstLine="480"/>
      </w:pPr>
      <w:r>
        <w:rPr/>
        <w:t>4.如中标，联合体各方共同与（采购人）签订合同书，并就中标项目向采购人负责有连带的和各自的法律责任；</w:t>
      </w:r>
    </w:p>
    <w:p>
      <w:pPr>
        <w:ind w:firstLine="480"/>
      </w:pPr>
      <w:r>
        <w:rPr/>
        <w:t>5.联合体成员（公司全称）为（请填写：小型、微型）企业，将承担合同总金额_____%的工作内容（联合体成员中有小型、微型企业时适用）。</w:t>
      </w:r>
    </w:p>
    <w:p>
      <w:pPr>
        <w:ind w:firstLine="480"/>
      </w:pPr>
      <w:r>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五、本协议在自签署之日起生效，有效期内有效，如获中标资格，合同有效期延续至合同履行完毕之日。</w:t>
      </w:r>
    </w:p>
    <w:p>
      <w:pPr>
        <w:ind w:firstLine="480"/>
      </w:pPr>
      <w:r>
        <w:rPr/>
        <w:t>六、本协议书正本一式_____份，随投标文件装订_____份，送采购人_____份，联合体成员各一份；副本一式_____份，联合体成员各执_____份。</w:t>
      </w:r>
    </w:p>
    <w:p>
      <w:r>
        <w:rPr/>
        <w:t>甲公司全称：____（盖章）________，乙公司全称：____（盖章）________，……公司全称：____（盖章）________，</w:t>
      </w:r>
    </w:p>
    <w:p>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格式十五：</w:t>
      </w:r>
    </w:p>
    <w:p>
      <w:pPr>
        <w:ind w:firstLine="480"/>
      </w:pPr>
      <w:r>
        <w:rPr/>
        <w:t>（以下格式文件由供应商根据需要选用）</w:t>
      </w:r>
    </w:p>
    <w:p>
      <w:pPr>
        <w:jc w:val="center"/>
      </w:pPr>
      <w:r>
        <w:rPr>
          <w:b/>
          <w:sz w:val="24"/>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根据上述业绩情况，按招标文件要求附销售或服务合同复印件及评审标准要求的证明材料。</w:t>
      </w:r>
    </w:p>
    <w:p>
      <w:pPr>
        <w:ind w:firstLine="480"/>
      </w:pPr>
    </w:p>
    <w:p>
      <w:r>
        <w:rPr/>
        <w:t xml:space="preserve"> </w:t>
      </w:r>
    </w:p>
    <w:p/>
    <w:p>
      <w:r>
        <w:rPr>
          <w:b/>
          <w:sz w:val="28"/>
        </w:rPr>
        <w:t>格式十六：</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采购文件规定的技术和服务要求</w:t>
            </w:r>
          </w:p>
        </w:tc>
        <w:tc>
          <w:tcPr>
            <w:tcW w:type="dxa" w:w="923"/>
          </w:tcPr>
          <w:p>
            <w:r>
              <w:rPr/>
              <w:t>投标文件响应的具体内容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1.“采购文件规定的技术和服务要求”项下填写的内容应与招标文件中采购需求的</w:t>
        <w:tab/>
        <w:tab/>
        <w:tab/>
        <w:t xml:space="preserve">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rPr/>
        <w:t>2.</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3. “是否偏离”项下应按下列规定填写：优于的，填写“正偏离”；符合的，填写“无偏离”；低于的，填写“负偏离”。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格式十七：</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采购文件规定的商务条件</w:t>
            </w:r>
          </w:p>
        </w:tc>
        <w:tc>
          <w:tcPr>
            <w:tcW w:type="dxa" w:w="1187"/>
          </w:tcPr>
          <w:p>
            <w:r>
              <w:rPr/>
              <w:t>投标文件响应的具体内容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 “采购文件规定的商务条件”项下填写的内容应与招标文件中采购需求的 “商务要求”的内容保持一致。</w:t>
      </w:r>
    </w:p>
    <w:p>
      <w:pPr>
        <w:ind w:firstLine="480"/>
      </w:pPr>
      <w:r>
        <w:rPr/>
        <w:t>2.</w:t>
        <w:tab/>
        <w:tab/>
        <w:tab/>
        <w:t xml:space="preserve">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rPr/>
        <w:t>3.</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4. “是否偏离”项下应按下列规定填写：优于的，填写“正偏离”；符合的，填写“无偏离”；低于的，填写“负偏离”。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r>
              <w:rPr/>
              <w:t>1</w:t>
            </w:r>
          </w:p>
        </w:tc>
        <w:tc>
          <w:tcPr>
            <w:tcW w:type="dxa" w:w="2076"/>
          </w:tcPr>
          <w:p>
            <w:r>
              <w:rPr/>
              <w:t>拟定___年___月___日</w:t>
            </w:r>
          </w:p>
        </w:tc>
        <w:tc>
          <w:tcPr>
            <w:tcW w:type="dxa" w:w="2076"/>
          </w:tcPr>
          <w:p>
            <w:r>
              <w:rPr/>
              <w:t>签订合同并生效</w:t>
            </w:r>
          </w:p>
        </w:tc>
        <w:tc>
          <w:tcPr>
            <w:tcW w:type="dxa" w:w="2076"/>
          </w:tcPr>
          <w:p/>
        </w:tc>
      </w:tr>
      <w:tr>
        <w:tc>
          <w:tcPr>
            <w:tcW w:type="dxa" w:w="2076"/>
          </w:tcPr>
          <w:p>
            <w:r>
              <w:rPr/>
              <w:t>2</w:t>
            </w:r>
          </w:p>
        </w:tc>
        <w:tc>
          <w:tcPr>
            <w:tcW w:type="dxa" w:w="2076"/>
          </w:tcPr>
          <w:p>
            <w:r>
              <w:rPr/>
              <w:t>___月___日—___月___日</w:t>
            </w:r>
          </w:p>
        </w:tc>
        <w:tc>
          <w:tcPr>
            <w:tcW w:type="dxa" w:w="2076"/>
          </w:tcPr>
          <w:p/>
        </w:tc>
        <w:tc>
          <w:tcPr>
            <w:tcW w:type="dxa" w:w="2076"/>
          </w:tcPr>
          <w:p/>
        </w:tc>
      </w:tr>
      <w:tr>
        <w:tc>
          <w:tcPr>
            <w:tcW w:type="dxa" w:w="2076"/>
          </w:tcPr>
          <w:p>
            <w:r>
              <w:rPr/>
              <w:t>3</w:t>
            </w:r>
          </w:p>
        </w:tc>
        <w:tc>
          <w:tcPr>
            <w:tcW w:type="dxa" w:w="2076"/>
          </w:tcPr>
          <w:p>
            <w:r>
              <w:rPr/>
              <w:t>___月___日—___月___日</w:t>
            </w:r>
          </w:p>
        </w:tc>
        <w:tc>
          <w:tcPr>
            <w:tcW w:type="dxa" w:w="2076"/>
          </w:tcPr>
          <w:p/>
        </w:tc>
        <w:tc>
          <w:tcPr>
            <w:tcW w:type="dxa" w:w="2076"/>
          </w:tcPr>
          <w:p/>
        </w:tc>
      </w:tr>
      <w:tr>
        <w:tc>
          <w:tcPr>
            <w:tcW w:type="dxa" w:w="2076"/>
          </w:tcPr>
          <w:p>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格式十九：</w:t>
      </w:r>
    </w:p>
    <w:p>
      <w:pPr>
        <w:ind w:firstLine="480"/>
      </w:pPr>
      <w:r>
        <w:rPr/>
        <w:t>（以下格式文件由供应商根据需要选用）</w:t>
      </w:r>
    </w:p>
    <w:p>
      <w:pPr>
        <w:jc w:val="center"/>
      </w:pPr>
      <w:r>
        <w:rPr>
          <w:b/>
          <w:sz w:val="24"/>
        </w:rPr>
        <w:t>各类证明材料</w:t>
      </w:r>
    </w:p>
    <w:p>
      <w:pPr>
        <w:ind w:firstLine="480"/>
      </w:pPr>
      <w:r>
        <w:rPr/>
        <w:t>1.招标文件要求提供的其他资料。</w:t>
      </w:r>
    </w:p>
    <w:p>
      <w:pPr>
        <w:ind w:firstLine="480"/>
      </w:pPr>
      <w:r>
        <w:rPr/>
        <w:t>2.投标人认为需提供的其他资料。</w:t>
      </w:r>
    </w:p>
    <w:p>
      <w:pPr>
        <w:ind w:firstLine="480"/>
      </w:pPr>
    </w:p>
    <w:p>
      <w:r>
        <w:rPr/>
        <w:t xml:space="preserve"> </w:t>
      </w:r>
    </w:p>
    <w:p/>
    <w:p>
      <w:r>
        <w:rPr>
          <w:b/>
          <w:sz w:val="28"/>
        </w:rPr>
        <w:t>格式二十：</w:t>
      </w:r>
    </w:p>
    <w:p>
      <w:pPr>
        <w:jc w:val="center"/>
      </w:pPr>
      <w:r>
        <w:rPr>
          <w:b/>
          <w:sz w:val="24"/>
        </w:rPr>
        <w:t>采购代理服务费支付承诺书</w:t>
      </w:r>
    </w:p>
    <w:p>
      <w:pPr>
        <w:ind w:firstLine="480"/>
      </w:pPr>
      <w:r>
        <w:rPr/>
        <w:t>致：</w:t>
      </w:r>
      <w:r>
        <w:rPr/>
        <w:t>广东万雄项目管理有限公司</w:t>
      </w:r>
    </w:p>
    <w:p>
      <w:pPr>
        <w:ind w:firstLine="480"/>
      </w:pPr>
      <w:r>
        <w:rPr/>
        <w:t>如果我方在贵采购代理机构组织的</w:t>
      </w:r>
      <w:r>
        <w:rPr/>
        <w:t>云浮市应急物资保障体系建设补助资金（中央直达资金）项目</w:t>
      </w:r>
      <w:r>
        <w:rPr/>
        <w:t>招标中获中标（采购项目编号：</w:t>
      </w:r>
      <w:r>
        <w:rPr/>
        <w:t>GDWXYF-2022-CG006</w:t>
      </w:r>
      <w:r>
        <w:rPr/>
        <w:t>），我方保证在收取《中标通知书》时，按招标文件对代理服务费支付方式的约定，承担本项目代理服务费。</w:t>
      </w:r>
    </w:p>
    <w:p>
      <w:pPr>
        <w:ind w:firstLine="480"/>
      </w:pPr>
      <w:r>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广东万雄项目管理有限公司</w:t>
      </w:r>
      <w:r>
        <w:rPr/>
        <w:t>的要求办理支付手续。</w:t>
      </w:r>
    </w:p>
    <w:p>
      <w:pPr>
        <w:ind w:firstLine="480"/>
      </w:pPr>
      <w:r>
        <w:rPr/>
        <w:t>特此承诺！</w:t>
      </w:r>
    </w:p>
    <w:p>
      <w:pPr>
        <w:ind w:firstLine="480"/>
      </w:pPr>
    </w:p>
    <w:p>
      <w:r>
        <w:rPr/>
        <w:t>投标人法定名称（公章）；_____________________</w:t>
      </w:r>
    </w:p>
    <w:p>
      <w:r>
        <w:rPr/>
        <w:t>投标人法定地址：_____________________</w:t>
      </w:r>
    </w:p>
    <w:p>
      <w:r>
        <w:rPr/>
        <w:t>投标人授权代表（签字或盖章）：_____________________</w:t>
      </w:r>
    </w:p>
    <w:p>
      <w:r>
        <w:rPr/>
        <w:t>电 话：_____________________</w:t>
      </w:r>
    </w:p>
    <w:p>
      <w:r>
        <w:rPr/>
        <w:t>传 真：_____________________</w:t>
      </w:r>
    </w:p>
    <w:p>
      <w:r>
        <w:rPr/>
        <w:t>承诺日期：_____________________</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投标人需要采购人提供的附加条件</w:t>
            </w:r>
          </w:p>
        </w:tc>
      </w:tr>
      <w:tr>
        <w:tc>
          <w:tcPr>
            <w:tcW w:type="dxa" w:w="4153"/>
          </w:tcPr>
          <w:p>
            <w:r>
              <w:rPr/>
              <w:t>1</w:t>
            </w:r>
          </w:p>
        </w:tc>
        <w:tc>
          <w:tcPr>
            <w:tcW w:type="dxa" w:w="4153"/>
          </w:tcPr>
          <w:p/>
        </w:tc>
      </w:tr>
      <w:tr>
        <w:tc>
          <w:tcPr>
            <w:tcW w:type="dxa" w:w="4153"/>
          </w:tcPr>
          <w:p>
            <w:r>
              <w:rPr/>
              <w:t>2</w:t>
            </w:r>
          </w:p>
        </w:tc>
        <w:tc>
          <w:tcPr>
            <w:tcW w:type="dxa" w:w="4153"/>
          </w:tcPr>
          <w:p/>
        </w:tc>
      </w:tr>
      <w:tr>
        <w:tc>
          <w:tcPr>
            <w:tcW w:type="dxa" w:w="4153"/>
          </w:tcPr>
          <w:p>
            <w:r>
              <w:rPr/>
              <w:t>3</w:t>
            </w:r>
          </w:p>
        </w:tc>
        <w:tc>
          <w:tcPr>
            <w:tcW w:type="dxa" w:w="4153"/>
          </w:tcPr>
          <w:p/>
        </w:tc>
      </w:tr>
    </w:tbl>
    <w:p>
      <w:pPr>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ind w:firstLine="480"/>
      </w:pPr>
    </w:p>
    <w:p>
      <w:r>
        <w:rPr/>
        <w:t xml:space="preserve"> </w:t>
      </w:r>
    </w:p>
    <w:p/>
    <w:p>
      <w:r>
        <w:rPr>
          <w:b/>
          <w:sz w:val="28"/>
        </w:rPr>
        <w:t>格式二十二：</w:t>
      </w:r>
    </w:p>
    <w:p>
      <w:pPr>
        <w:ind w:firstLine="480"/>
      </w:pPr>
      <w:r>
        <w:rPr/>
        <w:t>（以下格式文件由供应商根据需要选用）</w:t>
      </w:r>
    </w:p>
    <w:p>
      <w:pPr>
        <w:jc w:val="center"/>
      </w:pPr>
      <w:r>
        <w:rPr>
          <w:b/>
          <w:sz w:val="24"/>
        </w:rPr>
        <w:t>询问函、质疑函、投诉书格式</w:t>
      </w:r>
    </w:p>
    <w:p>
      <w:pPr>
        <w:ind w:firstLine="480"/>
      </w:pPr>
      <w:r>
        <w:rPr/>
        <w:t>说明：本部分格式为投标人提交询问函、质疑函、投诉函时使用，不属于投标文件格式的组成部分。</w:t>
      </w:r>
    </w:p>
    <w:p>
      <w:pPr>
        <w:jc w:val="center"/>
      </w:pPr>
      <w:r>
        <w:rPr>
          <w:b/>
          <w:sz w:val="24"/>
        </w:rPr>
        <w:t>询问函</w:t>
      </w:r>
    </w:p>
    <w:p>
      <w:pPr>
        <w:ind w:firstLine="480"/>
      </w:pPr>
      <w:r>
        <w:rPr/>
        <w:t>广东万雄项目管理有限公司</w:t>
      </w:r>
    </w:p>
    <w:p>
      <w:pPr>
        <w:ind w:firstLine="480"/>
      </w:pPr>
      <w:r>
        <w:rPr/>
        <w:t>我单位已登记并准备参与</w:t>
      </w:r>
      <w:r>
        <w:rPr/>
        <w:t>云浮市应急物资保障体系建设补助资金（中央直达资金）项目</w:t>
      </w:r>
      <w:r>
        <w:rPr/>
        <w:t>项目（采购项目编号：</w:t>
      </w:r>
      <w:r>
        <w:rPr/>
        <w:t>GDWXYF-2022-CG006</w:t>
      </w:r>
      <w:r>
        <w:rPr/>
        <w:t>）的投标活动，现有以下几个内容（或条款）存在疑问（或无法理解），特提出询问。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r>
        <w:rPr/>
        <w:t>询问人（公章）：_____________________</w:t>
      </w:r>
    </w:p>
    <w:p>
      <w:r>
        <w:rPr/>
        <w:t>法定代表人或授权代表（签字或盖章）：_____________________</w:t>
      </w:r>
    </w:p>
    <w:p>
      <w:r>
        <w:rPr/>
        <w:t>地址/邮编：_____________________</w:t>
      </w:r>
    </w:p>
    <w:p>
      <w:r>
        <w:rPr/>
        <w:t>电话/传真：_____________________</w:t>
      </w:r>
    </w:p>
    <w:p>
      <w:r>
        <w:rPr/>
        <w:t>日期： 年 月 日</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w:t>
      </w:r>
    </w:p>
    <w:p>
      <w:pPr>
        <w:ind w:firstLine="480"/>
      </w:pPr>
      <w:r>
        <w:rPr/>
        <w:t>地址：_____________________邮编：_____________________</w:t>
      </w:r>
    </w:p>
    <w:p>
      <w:pPr>
        <w:ind w:firstLine="480"/>
      </w:pPr>
      <w:r>
        <w:rPr/>
        <w:t>联系：_____________________联系电话：_____________________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采购文件获取日期：_____________________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质疑事项2：_____________________</w:t>
      </w:r>
    </w:p>
    <w:p>
      <w:pPr>
        <w:ind w:firstLine="480"/>
      </w:pPr>
      <w:r>
        <w:rPr/>
        <w:t>……</w:t>
      </w:r>
    </w:p>
    <w:p>
      <w:pPr>
        <w:ind w:firstLine="480"/>
      </w:pPr>
      <w:r>
        <w:rPr/>
        <w:t>四、与质疑事项相关的质疑请求</w:t>
      </w:r>
    </w:p>
    <w:p>
      <w:pPr>
        <w:ind w:firstLine="480"/>
      </w:pPr>
      <w:r>
        <w:rPr/>
        <w:t>请求：__________________________________________</w:t>
      </w:r>
    </w:p>
    <w:p>
      <w:r>
        <w:rPr/>
        <w:t xml:space="preserve"> 签字(签章)：_____________________ 公章：_____________________</w:t>
      </w:r>
    </w:p>
    <w:p>
      <w:r>
        <w:rPr/>
        <w:t>日期： 年 月 日</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3.质疑供应商若对项目的某一分包进行质疑，质疑函中应列明具体采购包号。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相关供应商：_____________________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采购文件公告:</w:t>
      </w:r>
      <w:r>
        <w:rPr>
          <w:u w:val="single"/>
        </w:rPr>
        <w:t>是/否</w:t>
      </w:r>
      <w:r>
        <w:rPr/>
        <w:t>公告期限：_____________________</w:t>
      </w:r>
    </w:p>
    <w:p>
      <w:pPr>
        <w:ind w:firstLine="480"/>
      </w:pPr>
      <w:r>
        <w:rPr/>
        <w:t>采购结果公告:</w:t>
      </w:r>
      <w:r>
        <w:rPr>
          <w:u w:val="single"/>
        </w:rPr>
        <w:t>是/否</w:t>
      </w:r>
      <w:r>
        <w:rPr/>
        <w:t>公告期限：_____________________</w:t>
      </w:r>
    </w:p>
    <w:p>
      <w:pPr>
        <w:ind w:firstLine="480"/>
      </w:pPr>
      <w:r>
        <w:rPr/>
        <w:t>三、质疑基本情况</w:t>
      </w:r>
    </w:p>
    <w:p>
      <w:pPr>
        <w:ind w:firstLine="480"/>
      </w:pPr>
      <w:r>
        <w:rPr/>
        <w:t>投诉人于 ____年____月____日,向提出质疑，质疑事项为：_____________________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 1：_____________________</w:t>
      </w:r>
    </w:p>
    <w:p>
      <w:pPr>
        <w:ind w:firstLine="480"/>
      </w:pPr>
      <w:r>
        <w:rPr/>
        <w:t>事实依据：_____________________</w:t>
      </w:r>
    </w:p>
    <w:p>
      <w:pPr>
        <w:ind w:firstLine="480"/>
      </w:pPr>
      <w:r>
        <w:rPr/>
        <w:t>法律依据：_____________________</w:t>
      </w:r>
    </w:p>
    <w:p>
      <w:pPr>
        <w:ind w:firstLine="480"/>
      </w:pPr>
      <w:r>
        <w:rPr/>
        <w:t>投诉事项2：_____________________</w:t>
      </w:r>
    </w:p>
    <w:p>
      <w:pPr>
        <w:ind w:firstLine="480"/>
      </w:pPr>
      <w:r>
        <w:rPr/>
        <w:t>……</w:t>
      </w:r>
    </w:p>
    <w:p>
      <w:pPr>
        <w:ind w:firstLine="480"/>
      </w:pPr>
      <w:r>
        <w:rPr/>
        <w:t>五、与投诉事项相关的投诉请求</w:t>
      </w:r>
    </w:p>
    <w:p>
      <w:pPr>
        <w:ind w:firstLine="480"/>
      </w:pPr>
      <w:r>
        <w:rPr/>
        <w:t>请求：________________________</w:t>
      </w:r>
    </w:p>
    <w:p>
      <w:pPr>
        <w:ind w:firstLine="480"/>
      </w:pPr>
    </w:p>
    <w:p>
      <w:r>
        <w:rPr/>
        <w:t xml:space="preserve"> 签字(签章)： ________公章________</w:t>
      </w:r>
    </w:p>
    <w:p>
      <w:r>
        <w:rPr/>
        <w:t>日期：____年____月____日</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格式二十三：</w:t>
      </w:r>
    </w:p>
    <w:p>
      <w:pPr>
        <w:ind w:firstLine="480"/>
      </w:pPr>
      <w:r>
        <w:rPr/>
        <w:t>（以下格式文件由供应商根据需要选用）</w:t>
      </w:r>
    </w:p>
    <w:p>
      <w:pPr>
        <w:ind w:firstLine="480"/>
      </w:pPr>
      <w:r>
        <w:rPr/>
        <w:t>项目实施方案、质量保证及售后服务承诺等内容和格式自拟。</w:t>
      </w:r>
    </w:p>
    <w:p>
      <w:pPr>
        <w:ind w:firstLine="480"/>
      </w:pPr>
    </w:p>
    <w:p>
      <w:r>
        <w:rPr/>
        <w:t xml:space="preserve"> </w:t>
      </w:r>
    </w:p>
    <w:p/>
    <w:p>
      <w:r>
        <w:rPr>
          <w:b/>
          <w:sz w:val="28"/>
        </w:rPr>
        <w:t>格式二十四：</w:t>
      </w:r>
    </w:p>
    <w:p>
      <w:pPr>
        <w:ind w:firstLine="480"/>
      </w:pPr>
      <w:r>
        <w:rPr/>
        <w:t>附件（以下格式文件由供应商根据需要选用）</w:t>
      </w:r>
    </w:p>
    <w:p>
      <w:pPr>
        <w:jc w:val="center"/>
      </w:pPr>
      <w:r>
        <w:rPr>
          <w:b/>
          <w:sz w:val="24"/>
        </w:rPr>
        <w:t>政府采购投标（响应）担保函</w:t>
      </w:r>
    </w:p>
    <w:p>
      <w:r>
        <w:rPr/>
        <w:t>编号：【 】号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ind w:firstLine="480"/>
      </w:pPr>
      <w:r>
        <w:rPr/>
        <w:t>一、保险责任的情形及保证金额</w:t>
      </w:r>
    </w:p>
    <w:p>
      <w:pPr>
        <w:ind w:firstLine="480"/>
      </w:pPr>
      <w:r>
        <w:rPr/>
        <w:t>（一）在投标（响应）人出现下列情形之一时，我方承担保险责任：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（二）我方承担保险责任的最高金额为人民币__________元（大写）即本项目的投标（响应）保证金金额。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我方的保证期间为：本保险凭证自__年__月__日起生效，有效期至开标日后的90天内。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 法院。</w:t>
      </w:r>
    </w:p>
    <w:p>
      <w:pPr>
        <w:ind w:firstLine="480"/>
      </w:pPr>
      <w:r>
        <w:rPr/>
        <w:t>七、保函的生效</w:t>
      </w:r>
    </w:p>
    <w:p>
      <w:pPr>
        <w:ind w:firstLine="480"/>
      </w:pPr>
      <w:r>
        <w:rPr/>
        <w:t>本保函自我方加盖公章之日起生效。</w:t>
      </w:r>
    </w:p>
    <w:p>
      <w:pPr>
        <w:ind w:firstLine="480"/>
      </w:pPr>
    </w:p>
    <w:p>
      <w:r>
        <w:rPr/>
        <w:t>保证人：_______（公章）_______</w:t>
      </w:r>
    </w:p>
    <w:p>
      <w:r>
        <w:rPr/>
        <w:t>联系人：____________________</w:t>
      </w:r>
    </w:p>
    <w:p>
      <w:r>
        <w:rPr/>
        <w:t>联系电话：____________________</w:t>
      </w:r>
    </w:p>
    <w:p>
      <w:r>
        <w:rPr/>
        <w:t>___年___月___日</w:t>
      </w:r>
    </w:p>
    <w:p>
      <w:pPr>
        <w:rPr>
          <w:rFonts w:hint="eastAsia"/>
          <w:lang w:val="en-US" w:eastAsia="zh-Hans"/>
        </w:rPr>
      </w:pPr>
      <w:r>
        <w:rPr/>
      </w: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